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8"/>
        </w:rPr>
      </w:pPr>
    </w:p>
    <w:p>
      <w:pPr>
        <w:rPr>
          <w:b/>
          <w:bCs/>
          <w:sz w:val="28"/>
        </w:rPr>
      </w:pPr>
    </w:p>
    <w:p>
      <w:pPr>
        <w:rPr>
          <w:b/>
          <w:bCs/>
          <w:sz w:val="28"/>
        </w:rPr>
      </w:pPr>
    </w:p>
    <w:p>
      <w:pPr>
        <w:jc w:val="center"/>
        <w:rPr>
          <w:b/>
          <w:bCs/>
          <w:sz w:val="44"/>
          <w:szCs w:val="44"/>
        </w:rPr>
      </w:pPr>
      <w:r>
        <w:rPr>
          <w:rFonts w:hint="eastAsia"/>
          <w:b/>
          <w:bCs/>
          <w:sz w:val="44"/>
          <w:szCs w:val="44"/>
        </w:rPr>
        <w:t>杭州市临平区教育资产营运管理中心</w:t>
      </w:r>
    </w:p>
    <w:p>
      <w:pPr>
        <w:jc w:val="center"/>
        <w:rPr>
          <w:b/>
          <w:bCs/>
          <w:sz w:val="44"/>
          <w:szCs w:val="44"/>
        </w:rPr>
      </w:pPr>
      <w:r>
        <w:rPr>
          <w:rFonts w:hint="eastAsia"/>
          <w:b/>
          <w:bCs/>
          <w:sz w:val="44"/>
          <w:szCs w:val="44"/>
        </w:rPr>
        <w:t>余杭区星桥九年一贯制学校项目竣工环境保护验收监测报告</w:t>
      </w:r>
    </w:p>
    <w:p>
      <w:pPr>
        <w:rPr>
          <w:b/>
          <w:bCs/>
          <w:color w:val="000000" w:themeColor="text1"/>
          <w:sz w:val="50"/>
        </w:rPr>
      </w:pPr>
    </w:p>
    <w:p>
      <w:pPr>
        <w:rPr>
          <w:b/>
          <w:bCs/>
          <w:sz w:val="32"/>
          <w:szCs w:val="32"/>
        </w:rPr>
      </w:pPr>
    </w:p>
    <w:p>
      <w:pPr>
        <w:pStyle w:val="17"/>
        <w:rPr>
          <w:rFonts w:ascii="Times New Roman" w:hAnsi="Times New Roman"/>
          <w:b/>
          <w:bCs/>
          <w:sz w:val="32"/>
          <w:szCs w:val="32"/>
        </w:rPr>
      </w:pPr>
    </w:p>
    <w:p>
      <w:pPr>
        <w:pStyle w:val="25"/>
        <w:ind w:firstLine="363"/>
        <w:rPr>
          <w:b/>
          <w:bCs/>
          <w:sz w:val="32"/>
          <w:szCs w:val="32"/>
        </w:rPr>
      </w:pPr>
    </w:p>
    <w:p>
      <w:pPr>
        <w:rPr>
          <w:b/>
          <w:bCs/>
          <w:sz w:val="32"/>
          <w:szCs w:val="32"/>
        </w:rPr>
      </w:pPr>
    </w:p>
    <w:p>
      <w:pPr>
        <w:pStyle w:val="17"/>
        <w:rPr>
          <w:rFonts w:ascii="Times New Roman" w:hAnsi="Times New Roman"/>
          <w:b/>
          <w:bCs/>
          <w:sz w:val="32"/>
          <w:szCs w:val="32"/>
        </w:rPr>
      </w:pPr>
    </w:p>
    <w:p>
      <w:pPr>
        <w:pStyle w:val="25"/>
      </w:pPr>
    </w:p>
    <w:p>
      <w:pPr>
        <w:pStyle w:val="17"/>
        <w:rPr>
          <w:rFonts w:ascii="Times New Roman" w:hAnsi="Times New Roman"/>
          <w:b/>
          <w:bCs/>
          <w:sz w:val="32"/>
          <w:szCs w:val="32"/>
        </w:rPr>
      </w:pPr>
    </w:p>
    <w:p>
      <w:pPr>
        <w:pStyle w:val="25"/>
      </w:pPr>
    </w:p>
    <w:p>
      <w:pPr>
        <w:ind w:firstLine="1280" w:firstLineChars="400"/>
        <w:rPr>
          <w:sz w:val="32"/>
          <w:szCs w:val="32"/>
        </w:rPr>
      </w:pPr>
      <w:r>
        <w:rPr>
          <w:rFonts w:hint="eastAsia"/>
          <w:sz w:val="32"/>
          <w:szCs w:val="32"/>
        </w:rPr>
        <w:t>建设单位：</w:t>
      </w:r>
      <w:r>
        <w:rPr>
          <w:rFonts w:hint="eastAsia"/>
          <w:bCs/>
          <w:sz w:val="32"/>
          <w:szCs w:val="32"/>
        </w:rPr>
        <w:t>杭州市临平区教育资产营运管理中心</w:t>
      </w:r>
      <w:r>
        <w:rPr>
          <w:sz w:val="32"/>
          <w:szCs w:val="32"/>
        </w:rPr>
        <w:t xml:space="preserve"> </w:t>
      </w:r>
    </w:p>
    <w:p>
      <w:pPr>
        <w:ind w:firstLine="1280" w:firstLineChars="400"/>
        <w:rPr>
          <w:sz w:val="32"/>
          <w:szCs w:val="32"/>
        </w:rPr>
      </w:pPr>
      <w:r>
        <w:rPr>
          <w:rFonts w:hint="eastAsia"/>
          <w:sz w:val="32"/>
          <w:szCs w:val="32"/>
        </w:rPr>
        <w:t>编制单位：</w:t>
      </w:r>
      <w:r>
        <w:rPr>
          <w:rFonts w:hint="eastAsia"/>
          <w:bCs/>
          <w:sz w:val="32"/>
          <w:szCs w:val="32"/>
        </w:rPr>
        <w:t>杭州市临平区教育资产营运管理中心</w:t>
      </w:r>
    </w:p>
    <w:p>
      <w:pPr>
        <w:ind w:firstLine="1920" w:firstLineChars="600"/>
        <w:rPr>
          <w:sz w:val="32"/>
          <w:szCs w:val="32"/>
        </w:rPr>
      </w:pPr>
    </w:p>
    <w:p>
      <w:pPr>
        <w:ind w:firstLine="1920" w:firstLineChars="600"/>
        <w:rPr>
          <w:sz w:val="32"/>
          <w:szCs w:val="32"/>
        </w:rPr>
      </w:pPr>
    </w:p>
    <w:p>
      <w:pPr>
        <w:jc w:val="center"/>
        <w:rPr>
          <w:sz w:val="32"/>
          <w:szCs w:val="32"/>
        </w:rPr>
      </w:pPr>
      <w:r>
        <w:rPr>
          <w:sz w:val="32"/>
          <w:szCs w:val="32"/>
        </w:rPr>
        <w:t>2024</w:t>
      </w:r>
      <w:r>
        <w:rPr>
          <w:rFonts w:hint="eastAsia"/>
          <w:sz w:val="32"/>
          <w:szCs w:val="32"/>
        </w:rPr>
        <w:t>年5月</w:t>
      </w:r>
    </w:p>
    <w:p>
      <w:pPr>
        <w:widowControl/>
        <w:spacing w:beforeAutospacing="1" w:afterAutospacing="1"/>
        <w:jc w:val="left"/>
        <w:rPr>
          <w:kern w:val="0"/>
          <w:sz w:val="32"/>
          <w:szCs w:val="32"/>
        </w:rPr>
        <w:sectPr>
          <w:pgSz w:w="11906" w:h="16838"/>
          <w:pgMar w:top="1440" w:right="1800" w:bottom="1440" w:left="1800" w:header="851" w:footer="992" w:gutter="0"/>
          <w:cols w:space="720" w:num="1"/>
          <w:docGrid w:type="lines" w:linePitch="312" w:charSpace="0"/>
        </w:sectPr>
      </w:pPr>
    </w:p>
    <w:p>
      <w:pPr>
        <w:spacing w:beforeLines="50" w:afterLines="50"/>
        <w:ind w:right="105" w:rightChars="50"/>
        <w:jc w:val="center"/>
        <w:rPr>
          <w:rFonts w:ascii="Times New Roman" w:hAnsi="Times New Roman"/>
          <w:b/>
          <w:sz w:val="44"/>
        </w:rPr>
      </w:pPr>
    </w:p>
    <w:p>
      <w:pPr>
        <w:spacing w:beforeLines="50" w:afterLines="50"/>
        <w:ind w:right="105" w:rightChars="50"/>
        <w:jc w:val="center"/>
        <w:rPr>
          <w:rFonts w:ascii="Times New Roman" w:hAnsi="Times New Roman"/>
          <w:b/>
          <w:sz w:val="44"/>
        </w:rPr>
      </w:pPr>
    </w:p>
    <w:p>
      <w:pPr>
        <w:spacing w:beforeLines="50" w:afterLines="50"/>
        <w:ind w:right="105" w:rightChars="50"/>
        <w:jc w:val="center"/>
        <w:rPr>
          <w:rFonts w:ascii="Times New Roman" w:hAnsi="Times New Roman"/>
          <w:b/>
          <w:sz w:val="44"/>
        </w:rPr>
      </w:pPr>
      <w:r>
        <w:rPr>
          <w:rFonts w:hint="eastAsia" w:ascii="Times New Roman" w:hAnsi="Times New Roman"/>
          <w:b/>
          <w:sz w:val="44"/>
        </w:rPr>
        <w:t>目录</w:t>
      </w:r>
    </w:p>
    <w:p>
      <w:pPr>
        <w:ind w:left="2978" w:leftChars="366" w:hanging="2209" w:hangingChars="500"/>
        <w:rPr>
          <w:rFonts w:ascii="Times New Roman" w:hAnsi="Times New Roman"/>
          <w:b/>
          <w:sz w:val="44"/>
        </w:rPr>
      </w:pPr>
    </w:p>
    <w:p>
      <w:pPr>
        <w:ind w:left="2978" w:leftChars="366" w:hanging="2209" w:hangingChars="500"/>
        <w:rPr>
          <w:rFonts w:ascii="Times New Roman" w:hAnsi="Times New Roman"/>
          <w:b/>
          <w:sz w:val="44"/>
        </w:rPr>
      </w:pPr>
      <w:r>
        <w:rPr>
          <w:rFonts w:hint="eastAsia" w:ascii="Times New Roman" w:hAnsi="Times New Roman"/>
          <w:b/>
          <w:sz w:val="44"/>
        </w:rPr>
        <w:t>第一部分：建设项目竣工环境保护验收监测报告</w:t>
      </w:r>
    </w:p>
    <w:p>
      <w:pPr>
        <w:ind w:firstLine="883"/>
        <w:rPr>
          <w:rFonts w:ascii="Times New Roman" w:hAnsi="Times New Roman"/>
          <w:b/>
          <w:sz w:val="44"/>
        </w:rPr>
      </w:pPr>
    </w:p>
    <w:p>
      <w:pPr>
        <w:ind w:firstLine="883"/>
        <w:rPr>
          <w:rFonts w:ascii="Times New Roman" w:hAnsi="Times New Roman"/>
          <w:b/>
          <w:sz w:val="44"/>
        </w:rPr>
      </w:pPr>
      <w:r>
        <w:rPr>
          <w:rFonts w:hint="eastAsia" w:ascii="Times New Roman" w:hAnsi="Times New Roman"/>
          <w:b/>
          <w:sz w:val="44"/>
        </w:rPr>
        <w:t>第二部分：验收意见及签到单</w:t>
      </w:r>
    </w:p>
    <w:p>
      <w:pPr>
        <w:ind w:firstLine="883"/>
        <w:rPr>
          <w:rFonts w:ascii="Times New Roman" w:hAnsi="Times New Roman"/>
          <w:b/>
          <w:sz w:val="44"/>
        </w:rPr>
      </w:pPr>
    </w:p>
    <w:p>
      <w:pPr>
        <w:ind w:firstLine="883"/>
        <w:rPr>
          <w:rFonts w:ascii="Times New Roman" w:hAnsi="Times New Roman"/>
          <w:b/>
          <w:sz w:val="44"/>
        </w:rPr>
      </w:pPr>
      <w:r>
        <w:rPr>
          <w:rFonts w:hint="eastAsia" w:ascii="Times New Roman" w:hAnsi="Times New Roman"/>
          <w:b/>
          <w:sz w:val="44"/>
        </w:rPr>
        <w:t>第三部分：其他需要说明的事项</w:t>
      </w: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spacing w:line="360" w:lineRule="auto"/>
        <w:jc w:val="center"/>
        <w:outlineLvl w:val="0"/>
        <w:rPr>
          <w:rFonts w:ascii="Times New Roman" w:hAnsi="Times New Roman"/>
          <w:b/>
          <w:sz w:val="52"/>
          <w:szCs w:val="52"/>
        </w:rPr>
      </w:pPr>
    </w:p>
    <w:p>
      <w:pPr>
        <w:spacing w:line="360" w:lineRule="auto"/>
        <w:jc w:val="center"/>
        <w:outlineLvl w:val="0"/>
        <w:rPr>
          <w:rFonts w:ascii="Times New Roman" w:hAnsi="Times New Roman"/>
          <w:b/>
          <w:sz w:val="52"/>
          <w:szCs w:val="52"/>
        </w:rPr>
      </w:pPr>
    </w:p>
    <w:p>
      <w:pPr>
        <w:spacing w:line="360" w:lineRule="auto"/>
        <w:jc w:val="center"/>
        <w:outlineLvl w:val="0"/>
        <w:rPr>
          <w:rFonts w:ascii="Times New Roman" w:hAnsi="Times New Roman"/>
          <w:b/>
          <w:sz w:val="52"/>
          <w:szCs w:val="52"/>
        </w:rPr>
      </w:pPr>
    </w:p>
    <w:p>
      <w:pPr>
        <w:spacing w:line="360" w:lineRule="auto"/>
        <w:jc w:val="center"/>
        <w:outlineLvl w:val="0"/>
        <w:rPr>
          <w:rFonts w:ascii="Times New Roman" w:hAnsi="Times New Roman"/>
          <w:b/>
          <w:sz w:val="52"/>
          <w:szCs w:val="52"/>
        </w:rPr>
      </w:pPr>
    </w:p>
    <w:p>
      <w:pPr>
        <w:spacing w:line="360" w:lineRule="auto"/>
        <w:jc w:val="center"/>
        <w:outlineLvl w:val="0"/>
        <w:rPr>
          <w:rFonts w:ascii="Times New Roman" w:hAnsi="Times New Roman"/>
          <w:b/>
          <w:sz w:val="52"/>
          <w:szCs w:val="52"/>
        </w:rPr>
      </w:pPr>
    </w:p>
    <w:p>
      <w:pPr>
        <w:spacing w:line="360" w:lineRule="auto"/>
        <w:jc w:val="center"/>
        <w:outlineLvl w:val="0"/>
        <w:rPr>
          <w:rFonts w:ascii="Times New Roman" w:hAnsi="Times New Roman"/>
          <w:b/>
          <w:sz w:val="52"/>
          <w:szCs w:val="52"/>
        </w:rPr>
      </w:pPr>
    </w:p>
    <w:p>
      <w:pPr>
        <w:spacing w:line="360" w:lineRule="auto"/>
        <w:jc w:val="center"/>
        <w:outlineLvl w:val="0"/>
        <w:rPr>
          <w:rFonts w:ascii="Times New Roman" w:hAnsi="Times New Roman"/>
          <w:b/>
          <w:sz w:val="52"/>
          <w:szCs w:val="52"/>
        </w:rPr>
      </w:pPr>
      <w:r>
        <w:rPr>
          <w:rFonts w:hint="eastAsia" w:ascii="Times New Roman" w:hAnsi="Times New Roman"/>
          <w:b/>
          <w:sz w:val="52"/>
          <w:szCs w:val="52"/>
        </w:rPr>
        <w:t>第一部分：建设项目竣工环境保护验收监测报告</w:t>
      </w:r>
    </w:p>
    <w:p>
      <w:pPr>
        <w:ind w:firstLine="883"/>
        <w:rPr>
          <w:rFonts w:ascii="Times New Roman" w:hAnsi="Times New Roman"/>
          <w:b/>
          <w:sz w:val="44"/>
          <w:szCs w:val="22"/>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ind w:firstLine="883"/>
        <w:rPr>
          <w:rFonts w:ascii="Times New Roman" w:hAnsi="Times New Roman"/>
          <w:b/>
          <w:sz w:val="44"/>
        </w:rPr>
      </w:pPr>
    </w:p>
    <w:p>
      <w:pPr>
        <w:spacing w:line="360" w:lineRule="auto"/>
        <w:jc w:val="center"/>
        <w:rPr>
          <w:rFonts w:ascii="Times New Roman" w:hAnsi="Times New Roman"/>
          <w:b/>
          <w:sz w:val="36"/>
          <w:szCs w:val="36"/>
        </w:rPr>
      </w:pPr>
    </w:p>
    <w:p>
      <w:pPr>
        <w:jc w:val="center"/>
        <w:rPr>
          <w:b/>
          <w:bCs/>
          <w:sz w:val="36"/>
          <w:szCs w:val="36"/>
        </w:rPr>
      </w:pPr>
      <w:r>
        <w:rPr>
          <w:rFonts w:hint="eastAsia"/>
          <w:b/>
          <w:bCs/>
          <w:sz w:val="36"/>
          <w:szCs w:val="36"/>
        </w:rPr>
        <w:t>杭州市临平区教育资产营运管理中心</w:t>
      </w:r>
    </w:p>
    <w:p>
      <w:pPr>
        <w:jc w:val="center"/>
        <w:rPr>
          <w:b/>
          <w:bCs/>
          <w:sz w:val="36"/>
          <w:szCs w:val="36"/>
        </w:rPr>
      </w:pPr>
      <w:r>
        <w:rPr>
          <w:rFonts w:hint="eastAsia"/>
          <w:b/>
          <w:bCs/>
          <w:sz w:val="36"/>
          <w:szCs w:val="36"/>
        </w:rPr>
        <w:t>余杭区星桥九年一贯制学校项目</w:t>
      </w:r>
      <w:r>
        <w:rPr>
          <w:rFonts w:hint="eastAsia" w:ascii="Times New Roman" w:hAnsi="Times New Roman"/>
          <w:b/>
          <w:sz w:val="36"/>
          <w:szCs w:val="36"/>
        </w:rPr>
        <w:t>竣工环境保护验收监测报告表</w:t>
      </w:r>
    </w:p>
    <w:p>
      <w:pPr>
        <w:jc w:val="center"/>
        <w:rPr>
          <w:rFonts w:ascii="Times New Roman" w:hAnsi="Times New Roman"/>
          <w:sz w:val="28"/>
          <w:szCs w:val="22"/>
        </w:rPr>
      </w:pPr>
    </w:p>
    <w:p>
      <w:pPr>
        <w:jc w:val="center"/>
        <w:rPr>
          <w:rFonts w:ascii="Times New Roman" w:hAnsi="Times New Roman"/>
          <w:sz w:val="28"/>
        </w:rPr>
      </w:pPr>
    </w:p>
    <w:p>
      <w:pPr>
        <w:jc w:val="center"/>
        <w:rPr>
          <w:rFonts w:ascii="Times New Roman" w:hAnsi="Times New Roman"/>
          <w:sz w:val="28"/>
        </w:rPr>
      </w:pPr>
    </w:p>
    <w:p>
      <w:pPr>
        <w:jc w:val="center"/>
        <w:rPr>
          <w:rFonts w:ascii="Times New Roman" w:hAnsi="Times New Roman"/>
          <w:sz w:val="28"/>
        </w:rPr>
      </w:pPr>
    </w:p>
    <w:p>
      <w:pPr>
        <w:jc w:val="center"/>
        <w:rPr>
          <w:rFonts w:ascii="Times New Roman" w:hAnsi="Times New Roman"/>
          <w:sz w:val="28"/>
        </w:rPr>
      </w:pPr>
    </w:p>
    <w:p>
      <w:pPr>
        <w:jc w:val="center"/>
        <w:rPr>
          <w:rFonts w:ascii="Times New Roman" w:hAnsi="Times New Roman"/>
          <w:sz w:val="28"/>
        </w:rPr>
      </w:pPr>
    </w:p>
    <w:p>
      <w:pPr>
        <w:jc w:val="center"/>
        <w:rPr>
          <w:rFonts w:ascii="Times New Roman" w:hAnsi="Times New Roman"/>
          <w:sz w:val="28"/>
        </w:rPr>
      </w:pPr>
    </w:p>
    <w:p>
      <w:pPr>
        <w:rPr>
          <w:rFonts w:ascii="Times New Roman" w:hAnsi="Times New Roman"/>
          <w:sz w:val="28"/>
        </w:rPr>
      </w:pPr>
    </w:p>
    <w:p>
      <w:pPr>
        <w:rPr>
          <w:rFonts w:ascii="Times New Roman" w:hAnsi="Times New Roman"/>
          <w:sz w:val="28"/>
          <w:szCs w:val="28"/>
        </w:rPr>
      </w:pPr>
      <w:r>
        <w:rPr>
          <w:rFonts w:ascii="Times New Roman" w:hAnsi="Times New Roman"/>
          <w:sz w:val="28"/>
        </w:rPr>
        <w:tab/>
      </w:r>
    </w:p>
    <w:p>
      <w:pPr>
        <w:spacing w:line="360" w:lineRule="auto"/>
        <w:jc w:val="center"/>
        <w:rPr>
          <w:rFonts w:ascii="Times New Roman" w:hAnsi="Times New Roman"/>
          <w:b/>
          <w:sz w:val="28"/>
          <w:szCs w:val="28"/>
        </w:rPr>
      </w:pPr>
      <w:r>
        <w:rPr>
          <w:rFonts w:hint="eastAsia" w:ascii="Times New Roman" w:hAnsi="Times New Roman"/>
          <w:b/>
          <w:sz w:val="28"/>
          <w:szCs w:val="28"/>
        </w:rPr>
        <w:t>建设单位：</w:t>
      </w:r>
      <w:r>
        <w:rPr>
          <w:rFonts w:hint="eastAsia" w:ascii="Times New Roman" w:hAnsi="Times New Roman"/>
          <w:b/>
          <w:bCs/>
          <w:sz w:val="28"/>
          <w:szCs w:val="28"/>
        </w:rPr>
        <w:t>杭州市临平区教育资产营运管理中心</w:t>
      </w:r>
    </w:p>
    <w:p>
      <w:pPr>
        <w:spacing w:line="360" w:lineRule="auto"/>
        <w:jc w:val="center"/>
        <w:rPr>
          <w:rFonts w:ascii="Times New Roman" w:hAnsi="Times New Roman"/>
          <w:b/>
          <w:sz w:val="28"/>
          <w:szCs w:val="28"/>
        </w:rPr>
      </w:pPr>
      <w:r>
        <w:rPr>
          <w:rFonts w:hint="eastAsia" w:ascii="Times New Roman" w:hAnsi="Times New Roman"/>
          <w:b/>
          <w:sz w:val="28"/>
        </w:rPr>
        <w:t>编制单位：</w:t>
      </w:r>
      <w:r>
        <w:rPr>
          <w:rFonts w:hint="eastAsia" w:ascii="Times New Roman" w:hAnsi="Times New Roman"/>
          <w:b/>
          <w:bCs/>
          <w:sz w:val="28"/>
        </w:rPr>
        <w:t>杭州市临平区教育资产营运管理中心</w:t>
      </w:r>
    </w:p>
    <w:p>
      <w:pPr>
        <w:rPr>
          <w:rFonts w:ascii="Times New Roman" w:hAnsi="Times New Roman"/>
          <w:b/>
          <w:sz w:val="28"/>
          <w:szCs w:val="22"/>
        </w:rPr>
      </w:pPr>
    </w:p>
    <w:p>
      <w:pPr>
        <w:rPr>
          <w:rFonts w:ascii="Times New Roman" w:hAnsi="Times New Roman"/>
          <w:b/>
          <w:sz w:val="28"/>
          <w:szCs w:val="28"/>
        </w:rPr>
      </w:pPr>
    </w:p>
    <w:p>
      <w:pPr>
        <w:rPr>
          <w:rFonts w:ascii="Times New Roman" w:hAnsi="Times New Roman"/>
          <w:b/>
          <w:sz w:val="28"/>
          <w:szCs w:val="28"/>
        </w:rPr>
      </w:pPr>
    </w:p>
    <w:p>
      <w:pPr>
        <w:rPr>
          <w:rFonts w:ascii="Times New Roman" w:hAnsi="Times New Roman"/>
          <w:b/>
          <w:sz w:val="28"/>
          <w:szCs w:val="28"/>
        </w:rPr>
      </w:pPr>
    </w:p>
    <w:p>
      <w:pPr>
        <w:rPr>
          <w:rFonts w:ascii="Times New Roman" w:hAnsi="Times New Roman"/>
          <w:b/>
          <w:sz w:val="28"/>
          <w:szCs w:val="28"/>
        </w:rPr>
      </w:pPr>
    </w:p>
    <w:p>
      <w:pPr>
        <w:rPr>
          <w:rFonts w:ascii="Times New Roman" w:hAnsi="Times New Roman"/>
          <w:b/>
          <w:sz w:val="28"/>
          <w:szCs w:val="28"/>
        </w:rPr>
      </w:pPr>
    </w:p>
    <w:p>
      <w:pPr>
        <w:jc w:val="center"/>
        <w:rPr>
          <w:rFonts w:ascii="Times New Roman" w:hAnsi="Times New Roman"/>
          <w:sz w:val="28"/>
          <w:szCs w:val="28"/>
        </w:rPr>
      </w:pPr>
      <w:r>
        <w:rPr>
          <w:rFonts w:hint="eastAsia" w:ascii="Times New Roman" w:hAnsi="Times New Roman" w:eastAsia="黑体"/>
          <w:b/>
          <w:sz w:val="32"/>
          <w:szCs w:val="36"/>
        </w:rPr>
        <w:t>二</w:t>
      </w:r>
      <w:r>
        <w:rPr>
          <w:rFonts w:ascii="Times New Roman" w:hAnsi="Times New Roman" w:eastAsia="黑体"/>
          <w:b/>
          <w:sz w:val="32"/>
          <w:szCs w:val="36"/>
        </w:rPr>
        <w:t>O</w:t>
      </w:r>
      <w:r>
        <w:rPr>
          <w:rFonts w:hint="eastAsia" w:ascii="Times New Roman" w:hAnsi="Times New Roman" w:eastAsia="黑体"/>
          <w:b/>
          <w:sz w:val="32"/>
          <w:szCs w:val="36"/>
        </w:rPr>
        <w:t>二四年五月</w:t>
      </w:r>
    </w:p>
    <w:p>
      <w:pPr>
        <w:spacing w:line="360" w:lineRule="auto"/>
        <w:jc w:val="center"/>
        <w:rPr>
          <w:rFonts w:ascii="Times New Roman" w:hAnsi="Times New Roman"/>
          <w:b/>
          <w:bCs/>
          <w:sz w:val="36"/>
          <w:szCs w:val="36"/>
        </w:rPr>
      </w:pPr>
      <w:bookmarkStart w:id="0" w:name="_Toc82862582"/>
      <w:r>
        <w:rPr>
          <w:rFonts w:ascii="Times New Roman" w:hAnsi="Arial"/>
          <w:b/>
          <w:bCs/>
          <w:sz w:val="36"/>
          <w:szCs w:val="36"/>
        </w:rPr>
        <w:t>前言</w:t>
      </w:r>
      <w:bookmarkEnd w:id="0"/>
    </w:p>
    <w:p>
      <w:pPr>
        <w:spacing w:line="360" w:lineRule="auto"/>
        <w:ind w:firstLine="480" w:firstLineChars="200"/>
        <w:jc w:val="left"/>
        <w:rPr>
          <w:rFonts w:ascii="Times New Roman" w:hAnsi="Times New Roman"/>
          <w:sz w:val="24"/>
        </w:rPr>
      </w:pPr>
      <w:r>
        <w:rPr>
          <w:rFonts w:ascii="Times New Roman" w:hAnsi="Times New Roman"/>
          <w:sz w:val="24"/>
        </w:rPr>
        <w:t>余杭区星桥九年一贯制学校项目位于杭州市临平区星桥街道星桥社区、贾家社区，项目由杭州市临平区教育资产营运管理中心</w:t>
      </w:r>
      <w:r>
        <w:rPr>
          <w:rFonts w:hint="eastAsia" w:ascii="Times New Roman" w:hAnsi="Times New Roman"/>
          <w:color w:val="FF0000"/>
          <w:sz w:val="24"/>
          <w:lang w:eastAsia="zh-CN"/>
        </w:rPr>
        <w:t>（</w:t>
      </w:r>
      <w:r>
        <w:rPr>
          <w:rFonts w:hint="eastAsia" w:ascii="Times New Roman" w:hAnsi="Times New Roman"/>
          <w:color w:val="FF0000"/>
          <w:sz w:val="24"/>
          <w:lang w:val="en-US" w:eastAsia="zh-CN"/>
        </w:rPr>
        <w:t>原杭州市余杭区教育资产运营管理中心）</w:t>
      </w:r>
      <w:r>
        <w:rPr>
          <w:rFonts w:ascii="Times New Roman" w:hAnsi="Times New Roman"/>
          <w:sz w:val="24"/>
        </w:rPr>
        <w:t>投资建设，地理位置见附图1，周边环境见附图2。</w:t>
      </w:r>
    </w:p>
    <w:p>
      <w:pPr>
        <w:spacing w:line="360" w:lineRule="auto"/>
        <w:ind w:firstLine="480" w:firstLineChars="200"/>
        <w:jc w:val="left"/>
        <w:rPr>
          <w:rFonts w:ascii="Times New Roman" w:hAnsi="Times New Roman"/>
          <w:sz w:val="24"/>
        </w:rPr>
      </w:pPr>
      <w:r>
        <w:rPr>
          <w:rFonts w:ascii="Times New Roman" w:hAnsi="Arial"/>
          <w:sz w:val="24"/>
          <w:highlight w:val="none"/>
        </w:rPr>
        <w:t>项目于</w:t>
      </w:r>
      <w:r>
        <w:rPr>
          <w:rFonts w:ascii="Times New Roman" w:hAnsi="Times New Roman"/>
          <w:sz w:val="24"/>
          <w:highlight w:val="none"/>
        </w:rPr>
        <w:t>2017</w:t>
      </w:r>
      <w:r>
        <w:rPr>
          <w:rFonts w:ascii="Times New Roman" w:hAnsi="Arial"/>
          <w:sz w:val="24"/>
          <w:highlight w:val="none"/>
        </w:rPr>
        <w:t>年</w:t>
      </w:r>
      <w:r>
        <w:rPr>
          <w:rFonts w:ascii="Times New Roman" w:hAnsi="Times New Roman"/>
          <w:sz w:val="24"/>
          <w:highlight w:val="none"/>
        </w:rPr>
        <w:t>10</w:t>
      </w:r>
      <w:r>
        <w:rPr>
          <w:rFonts w:ascii="Times New Roman" w:hAnsi="Arial"/>
          <w:sz w:val="24"/>
          <w:highlight w:val="none"/>
        </w:rPr>
        <w:t>月</w:t>
      </w:r>
      <w:r>
        <w:rPr>
          <w:rFonts w:ascii="Times New Roman" w:hAnsi="Times New Roman"/>
          <w:sz w:val="24"/>
          <w:highlight w:val="none"/>
        </w:rPr>
        <w:t>27</w:t>
      </w:r>
      <w:r>
        <w:rPr>
          <w:rFonts w:ascii="Times New Roman" w:hAnsi="Arial"/>
          <w:sz w:val="24"/>
          <w:highlight w:val="none"/>
        </w:rPr>
        <w:t>日取得</w:t>
      </w:r>
      <w:r>
        <w:rPr>
          <w:rFonts w:ascii="Times New Roman" w:hAnsi="Arial"/>
          <w:color w:val="FF0000"/>
          <w:sz w:val="24"/>
          <w:highlight w:val="none"/>
        </w:rPr>
        <w:t>原杭州市余杭区发展和改革局</w:t>
      </w:r>
      <w:r>
        <w:rPr>
          <w:rFonts w:ascii="Times New Roman" w:hAnsi="Arial"/>
          <w:sz w:val="24"/>
          <w:highlight w:val="none"/>
        </w:rPr>
        <w:t>同意，</w:t>
      </w:r>
      <w:r>
        <w:rPr>
          <w:rFonts w:hint="eastAsia" w:ascii="Times New Roman" w:hAnsi="Arial"/>
          <w:sz w:val="24"/>
          <w:highlight w:val="none"/>
        </w:rPr>
        <w:t>出具</w:t>
      </w:r>
      <w:r>
        <w:rPr>
          <w:rFonts w:ascii="Times New Roman" w:hAnsi="Arial"/>
          <w:sz w:val="24"/>
          <w:highlight w:val="none"/>
        </w:rPr>
        <w:t>《关于余杭区星桥九年一贯制学校新建工程项目建议书的批复》（余发改中心〔</w:t>
      </w:r>
      <w:r>
        <w:rPr>
          <w:rFonts w:ascii="Times New Roman" w:hAnsi="Times New Roman"/>
          <w:sz w:val="24"/>
          <w:highlight w:val="none"/>
        </w:rPr>
        <w:t>2017</w:t>
      </w:r>
      <w:r>
        <w:rPr>
          <w:rFonts w:ascii="Times New Roman" w:hAnsi="Arial"/>
          <w:sz w:val="24"/>
          <w:highlight w:val="none"/>
        </w:rPr>
        <w:t>〕</w:t>
      </w:r>
      <w:r>
        <w:rPr>
          <w:rFonts w:ascii="Times New Roman" w:hAnsi="Times New Roman"/>
          <w:sz w:val="24"/>
          <w:highlight w:val="none"/>
        </w:rPr>
        <w:t>424</w:t>
      </w:r>
      <w:r>
        <w:rPr>
          <w:rFonts w:ascii="Times New Roman" w:hAnsi="Arial"/>
          <w:sz w:val="24"/>
          <w:highlight w:val="none"/>
        </w:rPr>
        <w:t>号</w:t>
      </w:r>
      <w:r>
        <w:rPr>
          <w:rFonts w:hint="eastAsia" w:ascii="Times New Roman" w:hAnsi="Arial"/>
          <w:sz w:val="24"/>
          <w:highlight w:val="none"/>
        </w:rPr>
        <w:t>）</w:t>
      </w:r>
      <w:r>
        <w:rPr>
          <w:rFonts w:ascii="Times New Roman" w:hAnsi="Arial"/>
          <w:sz w:val="24"/>
          <w:highlight w:val="none"/>
        </w:rPr>
        <w:t>，项目总用地面积为</w:t>
      </w:r>
      <w:r>
        <w:rPr>
          <w:rFonts w:ascii="Times New Roman" w:hAnsi="Times New Roman"/>
          <w:sz w:val="24"/>
          <w:highlight w:val="none"/>
        </w:rPr>
        <w:t>65372.67</w:t>
      </w:r>
      <w:r>
        <w:rPr>
          <w:rFonts w:ascii="Times New Roman" w:hAnsi="Arial"/>
          <w:sz w:val="24"/>
          <w:highlight w:val="none"/>
        </w:rPr>
        <w:t>平方米。</w:t>
      </w:r>
      <w:r>
        <w:rPr>
          <w:rFonts w:ascii="Times New Roman" w:hAnsi="Times New Roman"/>
          <w:sz w:val="24"/>
          <w:highlight w:val="none"/>
        </w:rPr>
        <w:t>2018</w:t>
      </w:r>
      <w:r>
        <w:rPr>
          <w:rFonts w:ascii="Times New Roman" w:hAnsi="Arial"/>
          <w:sz w:val="24"/>
          <w:highlight w:val="none"/>
        </w:rPr>
        <w:t>年</w:t>
      </w:r>
      <w:r>
        <w:rPr>
          <w:rFonts w:ascii="Times New Roman" w:hAnsi="Arial"/>
          <w:color w:val="FF0000"/>
          <w:sz w:val="24"/>
          <w:highlight w:val="none"/>
        </w:rPr>
        <w:t>原</w:t>
      </w:r>
      <w:r>
        <w:rPr>
          <w:rFonts w:ascii="Times New Roman" w:hAnsi="Arial"/>
          <w:bCs/>
          <w:color w:val="FF0000"/>
          <w:sz w:val="24"/>
          <w:highlight w:val="none"/>
        </w:rPr>
        <w:t>杭州市</w:t>
      </w:r>
      <w:r>
        <w:rPr>
          <w:rFonts w:hint="eastAsia" w:ascii="Times New Roman" w:hAnsi="Arial"/>
          <w:bCs/>
          <w:color w:val="FF0000"/>
          <w:sz w:val="24"/>
          <w:highlight w:val="none"/>
        </w:rPr>
        <w:t>余杭</w:t>
      </w:r>
      <w:r>
        <w:rPr>
          <w:rFonts w:ascii="Times New Roman" w:hAnsi="Arial"/>
          <w:bCs/>
          <w:color w:val="FF0000"/>
          <w:sz w:val="24"/>
          <w:highlight w:val="none"/>
        </w:rPr>
        <w:t>区教育资产营运管理中心</w:t>
      </w:r>
      <w:r>
        <w:rPr>
          <w:rFonts w:ascii="Times New Roman" w:hAnsi="Arial"/>
          <w:sz w:val="24"/>
          <w:highlight w:val="none"/>
        </w:rPr>
        <w:t>委托煤科集团杭州环保研究院有限公司编制的《</w:t>
      </w:r>
      <w:r>
        <w:rPr>
          <w:rFonts w:ascii="Times New Roman" w:hAnsi="Arial"/>
          <w:bCs/>
          <w:sz w:val="24"/>
          <w:highlight w:val="none"/>
        </w:rPr>
        <w:t>余杭区星桥九年一贯制学校项目</w:t>
      </w:r>
      <w:r>
        <w:rPr>
          <w:rFonts w:ascii="Times New Roman" w:hAnsi="Arial"/>
          <w:sz w:val="24"/>
          <w:highlight w:val="none"/>
        </w:rPr>
        <w:t>环境影响报告表》取得了</w:t>
      </w:r>
      <w:r>
        <w:rPr>
          <w:rFonts w:hint="eastAsia" w:ascii="Times New Roman" w:hAnsi="Arial"/>
          <w:color w:val="FF0000"/>
          <w:sz w:val="24"/>
          <w:highlight w:val="none"/>
        </w:rPr>
        <w:t>原</w:t>
      </w:r>
      <w:r>
        <w:rPr>
          <w:rFonts w:ascii="Times New Roman" w:hAnsi="Arial"/>
          <w:color w:val="FF0000"/>
          <w:sz w:val="24"/>
          <w:highlight w:val="none"/>
        </w:rPr>
        <w:t>杭州市</w:t>
      </w:r>
      <w:r>
        <w:rPr>
          <w:rFonts w:hint="eastAsia" w:ascii="Times New Roman" w:hAnsi="Arial"/>
          <w:color w:val="FF0000"/>
          <w:sz w:val="24"/>
          <w:highlight w:val="none"/>
        </w:rPr>
        <w:t>余杭</w:t>
      </w:r>
      <w:r>
        <w:rPr>
          <w:rFonts w:hint="eastAsia" w:ascii="Times New Roman" w:hAnsi="Arial"/>
          <w:color w:val="FF0000"/>
          <w:sz w:val="24"/>
          <w:highlight w:val="none"/>
          <w:lang w:val="en-US" w:eastAsia="zh-CN"/>
        </w:rPr>
        <w:t>区</w:t>
      </w:r>
      <w:r>
        <w:rPr>
          <w:rFonts w:ascii="Times New Roman" w:hAnsi="Arial"/>
          <w:color w:val="FF0000"/>
          <w:sz w:val="24"/>
          <w:highlight w:val="none"/>
        </w:rPr>
        <w:t>环境保护局</w:t>
      </w:r>
      <w:r>
        <w:rPr>
          <w:rFonts w:ascii="Times New Roman" w:hAnsi="Arial"/>
          <w:sz w:val="24"/>
          <w:highlight w:val="none"/>
        </w:rPr>
        <w:t>出具的《</w:t>
      </w:r>
      <w:r>
        <w:rPr>
          <w:rFonts w:ascii="Times New Roman" w:hAnsi="Arial"/>
          <w:bCs/>
          <w:sz w:val="24"/>
          <w:highlight w:val="none"/>
        </w:rPr>
        <w:t>余杭区星桥九年一贯制学校项目</w:t>
      </w:r>
      <w:r>
        <w:rPr>
          <w:rFonts w:ascii="Times New Roman" w:hAnsi="Arial"/>
          <w:sz w:val="24"/>
          <w:highlight w:val="none"/>
        </w:rPr>
        <w:t>环境影响报告表的审批意见》（环评批复〔</w:t>
      </w:r>
      <w:r>
        <w:rPr>
          <w:rFonts w:ascii="Times New Roman" w:hAnsi="Times New Roman"/>
          <w:sz w:val="24"/>
          <w:highlight w:val="none"/>
        </w:rPr>
        <w:t>2018</w:t>
      </w:r>
      <w:r>
        <w:rPr>
          <w:rFonts w:ascii="Times New Roman" w:hAnsi="Arial"/>
          <w:sz w:val="24"/>
          <w:highlight w:val="none"/>
        </w:rPr>
        <w:t>〕</w:t>
      </w:r>
      <w:r>
        <w:rPr>
          <w:rFonts w:ascii="Times New Roman" w:hAnsi="Times New Roman"/>
          <w:sz w:val="24"/>
          <w:highlight w:val="none"/>
        </w:rPr>
        <w:t>256</w:t>
      </w:r>
      <w:r>
        <w:rPr>
          <w:rFonts w:ascii="Times New Roman" w:hAnsi="Arial"/>
          <w:sz w:val="24"/>
          <w:highlight w:val="none"/>
        </w:rPr>
        <w:t>号）。</w:t>
      </w:r>
      <w:r>
        <w:rPr>
          <w:rFonts w:ascii="Times New Roman" w:hAnsi="Times New Roman"/>
          <w:sz w:val="24"/>
          <w:highlight w:val="none"/>
        </w:rPr>
        <w:t>2018</w:t>
      </w:r>
      <w:r>
        <w:rPr>
          <w:rFonts w:ascii="Times New Roman" w:hAnsi="Arial"/>
          <w:sz w:val="24"/>
          <w:highlight w:val="none"/>
        </w:rPr>
        <w:t>年</w:t>
      </w:r>
      <w:r>
        <w:rPr>
          <w:rFonts w:hint="eastAsia" w:ascii="Times New Roman" w:hAnsi="Times New Roman"/>
          <w:sz w:val="24"/>
          <w:highlight w:val="none"/>
        </w:rPr>
        <w:t>10</w:t>
      </w:r>
      <w:r>
        <w:rPr>
          <w:rFonts w:ascii="Times New Roman" w:hAnsi="Arial"/>
          <w:sz w:val="24"/>
          <w:highlight w:val="none"/>
        </w:rPr>
        <w:t>月项目正式开工，</w:t>
      </w:r>
      <w:r>
        <w:rPr>
          <w:rFonts w:hint="eastAsia" w:ascii="Times New Roman" w:hAnsi="Times New Roman"/>
          <w:color w:val="FF0000"/>
          <w:sz w:val="24"/>
          <w:highlight w:val="none"/>
        </w:rPr>
        <w:t>2020年</w:t>
      </w:r>
      <w:r>
        <w:rPr>
          <w:rFonts w:hint="eastAsia" w:ascii="Times New Roman" w:hAnsi="Times New Roman"/>
          <w:color w:val="FF0000"/>
          <w:sz w:val="24"/>
          <w:highlight w:val="none"/>
          <w:lang w:val="en-US" w:eastAsia="zh-CN"/>
        </w:rPr>
        <w:t>6</w:t>
      </w:r>
      <w:r>
        <w:rPr>
          <w:rFonts w:hint="eastAsia" w:ascii="Times New Roman" w:hAnsi="Times New Roman"/>
          <w:color w:val="FF0000"/>
          <w:sz w:val="24"/>
          <w:highlight w:val="none"/>
        </w:rPr>
        <w:t>月</w:t>
      </w:r>
      <w:r>
        <w:rPr>
          <w:rFonts w:ascii="Times New Roman" w:hAnsi="Arial"/>
          <w:color w:val="FF0000"/>
          <w:sz w:val="24"/>
          <w:highlight w:val="none"/>
        </w:rPr>
        <w:t>项目竣工</w:t>
      </w:r>
      <w:r>
        <w:rPr>
          <w:rFonts w:ascii="Times New Roman" w:hAnsi="Arial"/>
          <w:sz w:val="24"/>
          <w:highlight w:val="none"/>
        </w:rPr>
        <w:t>。</w:t>
      </w:r>
      <w:r>
        <w:rPr>
          <w:rFonts w:hint="eastAsia" w:ascii="Times New Roman" w:hAnsi="Arial"/>
          <w:sz w:val="24"/>
          <w:highlight w:val="none"/>
        </w:rPr>
        <w:t>目前学校名为杭州市临平区星华实验学校，所在地块地址为浙江省杭州市临平区临丁路66号（</w:t>
      </w:r>
      <w:r>
        <w:rPr>
          <w:rFonts w:hint="eastAsia" w:ascii="Times New Roman" w:hAnsi="Arial"/>
          <w:color w:val="FF0000"/>
          <w:sz w:val="24"/>
          <w:highlight w:val="none"/>
        </w:rPr>
        <w:t>即环评及环评批复中地址：</w:t>
      </w:r>
      <w:r>
        <w:rPr>
          <w:rFonts w:ascii="Times New Roman" w:hAnsi="Times New Roman"/>
          <w:color w:val="FF0000"/>
          <w:sz w:val="24"/>
          <w:highlight w:val="none"/>
        </w:rPr>
        <w:t>杭州市临平区星桥街道星桥社区、贾家社区</w:t>
      </w:r>
      <w:r>
        <w:rPr>
          <w:rFonts w:hint="eastAsia" w:ascii="Times New Roman" w:hAnsi="Arial"/>
          <w:sz w:val="24"/>
          <w:highlight w:val="none"/>
        </w:rPr>
        <w:t>）</w:t>
      </w:r>
      <w:r>
        <w:rPr>
          <w:rFonts w:hint="eastAsia" w:ascii="Times New Roman" w:hAnsi="Arial"/>
          <w:sz w:val="24"/>
        </w:rPr>
        <w:t>。</w:t>
      </w:r>
    </w:p>
    <w:p>
      <w:pPr>
        <w:spacing w:line="360" w:lineRule="auto"/>
        <w:ind w:firstLine="480" w:firstLineChars="200"/>
        <w:jc w:val="left"/>
        <w:rPr>
          <w:rFonts w:ascii="Times New Roman" w:hAnsi="Times New Roman"/>
          <w:sz w:val="24"/>
        </w:rPr>
      </w:pPr>
      <w:r>
        <w:rPr>
          <w:rFonts w:ascii="Times New Roman" w:hAnsi="Arial"/>
          <w:color w:val="000000" w:themeColor="text1"/>
          <w:sz w:val="24"/>
        </w:rPr>
        <w:t>根据</w:t>
      </w:r>
      <w:r>
        <w:rPr>
          <w:rFonts w:ascii="Times New Roman" w:hAnsi="Arial"/>
          <w:sz w:val="24"/>
        </w:rPr>
        <w:t>《建设项目环境影响评价分类管理目录》（中华人民共和国环保局保护部令第</w:t>
      </w:r>
      <w:r>
        <w:rPr>
          <w:rFonts w:ascii="Times New Roman" w:hAnsi="Times New Roman"/>
          <w:sz w:val="24"/>
        </w:rPr>
        <w:t>33</w:t>
      </w:r>
      <w:r>
        <w:rPr>
          <w:rFonts w:ascii="Times New Roman" w:hAnsi="Arial"/>
          <w:sz w:val="24"/>
        </w:rPr>
        <w:t>号），该项目设有实验室，属于</w:t>
      </w:r>
      <w:r>
        <w:rPr>
          <w:rFonts w:ascii="Times New Roman" w:hAnsi="Times New Roman"/>
          <w:sz w:val="24"/>
        </w:rPr>
        <w:t>“</w:t>
      </w:r>
      <w:r>
        <w:rPr>
          <w:rFonts w:ascii="Times New Roman" w:hAnsi="Arial"/>
          <w:sz w:val="24"/>
        </w:rPr>
        <w:t>五十、社会事业与服务业</w:t>
      </w:r>
      <w:r>
        <w:rPr>
          <w:rFonts w:ascii="Times New Roman" w:hAnsi="Times New Roman"/>
          <w:sz w:val="24"/>
        </w:rPr>
        <w:t>”</w:t>
      </w:r>
      <w:r>
        <w:rPr>
          <w:rFonts w:ascii="Times New Roman" w:hAnsi="Arial"/>
          <w:sz w:val="24"/>
        </w:rPr>
        <w:t>中</w:t>
      </w:r>
      <w:r>
        <w:rPr>
          <w:rFonts w:ascii="Times New Roman" w:hAnsi="Times New Roman"/>
          <w:sz w:val="24"/>
        </w:rPr>
        <w:t>“110</w:t>
      </w:r>
      <w:r>
        <w:rPr>
          <w:rFonts w:ascii="Times New Roman" w:hAnsi="Arial"/>
          <w:sz w:val="24"/>
        </w:rPr>
        <w:t>学校、福利院、养老院（建筑面积</w:t>
      </w:r>
      <w:r>
        <w:rPr>
          <w:rFonts w:ascii="Times New Roman" w:hAnsi="Times New Roman"/>
          <w:sz w:val="24"/>
        </w:rPr>
        <w:t>5000</w:t>
      </w:r>
      <w:r>
        <w:rPr>
          <w:rFonts w:ascii="Times New Roman" w:hAnsi="Arial"/>
          <w:sz w:val="24"/>
        </w:rPr>
        <w:t>平方米及以上的）</w:t>
      </w:r>
      <w:r>
        <w:rPr>
          <w:rFonts w:ascii="Times New Roman" w:hAnsi="Times New Roman"/>
          <w:sz w:val="24"/>
        </w:rPr>
        <w:t>”</w:t>
      </w:r>
      <w:r>
        <w:rPr>
          <w:rFonts w:ascii="Times New Roman" w:hAnsi="Arial"/>
          <w:sz w:val="24"/>
        </w:rPr>
        <w:t>中</w:t>
      </w:r>
      <w:r>
        <w:rPr>
          <w:rFonts w:ascii="Times New Roman" w:hAnsi="Times New Roman"/>
          <w:sz w:val="24"/>
        </w:rPr>
        <w:t>“</w:t>
      </w:r>
      <w:r>
        <w:rPr>
          <w:rFonts w:ascii="Times New Roman" w:hAnsi="Arial"/>
          <w:sz w:val="24"/>
        </w:rPr>
        <w:t>新建涉及环境敏感区的；有化学、生物实验室的学校</w:t>
      </w:r>
      <w:r>
        <w:rPr>
          <w:rFonts w:ascii="Times New Roman" w:hAnsi="Times New Roman"/>
          <w:sz w:val="24"/>
        </w:rPr>
        <w:t>”</w:t>
      </w:r>
      <w:r>
        <w:rPr>
          <w:rFonts w:ascii="Times New Roman" w:hAnsi="Arial"/>
          <w:sz w:val="24"/>
        </w:rPr>
        <w:t>，编制了环境影响报告表并通过审批。</w:t>
      </w:r>
    </w:p>
    <w:p>
      <w:pPr>
        <w:spacing w:line="360" w:lineRule="auto"/>
        <w:ind w:firstLine="480" w:firstLineChars="200"/>
        <w:jc w:val="left"/>
        <w:rPr>
          <w:rFonts w:ascii="Times New Roman" w:hAnsi="Times New Roman"/>
          <w:b/>
          <w:bCs/>
          <w:sz w:val="24"/>
        </w:rPr>
        <w:sectPr>
          <w:pgSz w:w="11906" w:h="16838"/>
          <w:pgMar w:top="1440" w:right="1800" w:bottom="1440" w:left="1800" w:header="851" w:footer="992" w:gutter="0"/>
          <w:cols w:space="425" w:num="1"/>
          <w:docGrid w:type="lines" w:linePitch="312" w:charSpace="0"/>
        </w:sectPr>
      </w:pPr>
      <w:r>
        <w:rPr>
          <w:rFonts w:ascii="Times New Roman" w:hAnsi="Times New Roman"/>
          <w:sz w:val="24"/>
        </w:rPr>
        <w:t>2020</w:t>
      </w:r>
      <w:r>
        <w:rPr>
          <w:rFonts w:ascii="Times New Roman" w:hAnsi="Arial"/>
          <w:sz w:val="24"/>
        </w:rPr>
        <w:t>年</w:t>
      </w:r>
      <w:r>
        <w:rPr>
          <w:rFonts w:ascii="Times New Roman" w:hAnsi="Times New Roman"/>
          <w:sz w:val="24"/>
        </w:rPr>
        <w:t>12</w:t>
      </w:r>
      <w:r>
        <w:rPr>
          <w:rFonts w:ascii="Times New Roman" w:hAnsi="Arial"/>
          <w:sz w:val="24"/>
        </w:rPr>
        <w:t>月</w:t>
      </w:r>
      <w:r>
        <w:rPr>
          <w:rFonts w:ascii="Times New Roman" w:hAnsi="Times New Roman"/>
          <w:sz w:val="24"/>
        </w:rPr>
        <w:t>24</w:t>
      </w:r>
      <w:r>
        <w:rPr>
          <w:rFonts w:ascii="Times New Roman" w:hAnsi="Arial"/>
          <w:sz w:val="24"/>
        </w:rPr>
        <w:t>日生态环境部办公厅发布了《关于印发</w:t>
      </w:r>
      <w:r>
        <w:rPr>
          <w:rFonts w:ascii="Times New Roman" w:hAnsi="Times New Roman"/>
          <w:sz w:val="24"/>
        </w:rPr>
        <w:t>&lt;</w:t>
      </w:r>
      <w:r>
        <w:rPr>
          <w:rFonts w:ascii="Times New Roman" w:hAnsi="Arial"/>
          <w:sz w:val="24"/>
        </w:rPr>
        <w:t>建设项目环境影响报告表</w:t>
      </w:r>
      <w:r>
        <w:rPr>
          <w:rFonts w:ascii="Times New Roman" w:hAnsi="Times New Roman"/>
          <w:sz w:val="24"/>
        </w:rPr>
        <w:t>&gt;</w:t>
      </w:r>
      <w:r>
        <w:rPr>
          <w:rFonts w:ascii="Times New Roman" w:hAnsi="Arial"/>
          <w:sz w:val="24"/>
        </w:rPr>
        <w:t>内容、格式及编制技术指南的通知》</w:t>
      </w:r>
      <w:r>
        <w:rPr>
          <w:rFonts w:ascii="Times New Roman" w:hAnsi="Times New Roman"/>
          <w:sz w:val="24"/>
        </w:rPr>
        <w:t>(</w:t>
      </w:r>
      <w:r>
        <w:rPr>
          <w:rFonts w:ascii="Times New Roman" w:hAnsi="Arial"/>
          <w:sz w:val="24"/>
        </w:rPr>
        <w:t>环办环评〔</w:t>
      </w:r>
      <w:r>
        <w:rPr>
          <w:rFonts w:ascii="Times New Roman" w:hAnsi="Times New Roman"/>
          <w:sz w:val="24"/>
        </w:rPr>
        <w:t>2020</w:t>
      </w:r>
      <w:r>
        <w:rPr>
          <w:rFonts w:ascii="Times New Roman" w:hAnsi="Arial"/>
          <w:sz w:val="24"/>
        </w:rPr>
        <w:t>〕</w:t>
      </w:r>
      <w:r>
        <w:rPr>
          <w:rFonts w:ascii="Times New Roman" w:hAnsi="Times New Roman"/>
          <w:sz w:val="24"/>
        </w:rPr>
        <w:t>33</w:t>
      </w:r>
      <w:r>
        <w:rPr>
          <w:rFonts w:ascii="Times New Roman" w:hAnsi="Arial"/>
          <w:sz w:val="24"/>
        </w:rPr>
        <w:t>号</w:t>
      </w:r>
      <w:r>
        <w:rPr>
          <w:rFonts w:ascii="Times New Roman" w:hAnsi="Times New Roman"/>
          <w:sz w:val="24"/>
        </w:rPr>
        <w:t>)</w:t>
      </w:r>
      <w:r>
        <w:rPr>
          <w:rFonts w:ascii="Times New Roman" w:hAnsi="Arial"/>
          <w:sz w:val="24"/>
        </w:rPr>
        <w:t>，根据《建设项目环境影响报告表编制技术指南（污染影响类）（试行）》，有化学或生物实验室的学校属于污染影响类，因此参照《建设项目竣工环境保护验收技术指南污染影响类》（生态环境部公告</w:t>
      </w:r>
      <w:r>
        <w:rPr>
          <w:rFonts w:ascii="Times New Roman" w:hAnsi="Times New Roman"/>
          <w:sz w:val="24"/>
        </w:rPr>
        <w:t xml:space="preserve"> 2018</w:t>
      </w:r>
      <w:r>
        <w:rPr>
          <w:rFonts w:ascii="Times New Roman" w:hAnsi="Arial"/>
          <w:sz w:val="24"/>
        </w:rPr>
        <w:t>年第</w:t>
      </w:r>
      <w:r>
        <w:rPr>
          <w:rFonts w:ascii="Times New Roman" w:hAnsi="Times New Roman"/>
          <w:sz w:val="24"/>
        </w:rPr>
        <w:t>9</w:t>
      </w:r>
      <w:r>
        <w:rPr>
          <w:rFonts w:ascii="Times New Roman" w:hAnsi="Arial"/>
          <w:sz w:val="24"/>
        </w:rPr>
        <w:t>号）的相关要求编制验收监测报告表。项目环保设施正常运行，根据现场进踏勘和相关的资料，编制了本项目竣工环境保护验收监测报告表。</w:t>
      </w:r>
    </w:p>
    <w:p>
      <w:pPr>
        <w:pStyle w:val="14"/>
        <w:ind w:left="480" w:leftChars="0" w:firstLine="480" w:firstLineChars="200"/>
        <w:rPr>
          <w:rFonts w:ascii="Arial" w:hAnsi="Arial" w:cs="Arial"/>
        </w:rPr>
      </w:pPr>
    </w:p>
    <w:p>
      <w:pPr>
        <w:spacing w:line="360" w:lineRule="auto"/>
        <w:outlineLvl w:val="0"/>
        <w:rPr>
          <w:rFonts w:ascii="Times New Roman" w:hAnsi="Times New Roman"/>
          <w:b/>
          <w:sz w:val="24"/>
        </w:rPr>
      </w:pPr>
      <w:r>
        <w:rPr>
          <w:rFonts w:hint="eastAsia" w:ascii="Times New Roman" w:hAnsi="Times New Roman"/>
          <w:b/>
          <w:sz w:val="24"/>
        </w:rPr>
        <w:t>表一 项目概况</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131"/>
        <w:gridCol w:w="1975"/>
        <w:gridCol w:w="1141"/>
        <w:gridCol w:w="799"/>
        <w:gridCol w:w="9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8"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建设项目名称</w:t>
            </w:r>
          </w:p>
        </w:tc>
        <w:tc>
          <w:tcPr>
            <w:tcW w:w="6956" w:type="dxa"/>
            <w:gridSpan w:val="5"/>
            <w:tcBorders>
              <w:top w:val="single" w:color="auto" w:sz="8"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余杭区星桥九年一贯制学校项目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建设单位名称</w:t>
            </w:r>
          </w:p>
        </w:tc>
        <w:tc>
          <w:tcPr>
            <w:tcW w:w="6956" w:type="dxa"/>
            <w:gridSpan w:val="5"/>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杭州市临平区教育资产营运管理中心（</w:t>
            </w:r>
            <w:r>
              <w:rPr>
                <w:rFonts w:ascii="Times New Roman" w:hAnsi="Arial"/>
                <w:color w:val="FF0000"/>
                <w:szCs w:val="21"/>
                <w:highlight w:val="none"/>
              </w:rPr>
              <w:t>原</w:t>
            </w:r>
            <w:r>
              <w:rPr>
                <w:rFonts w:ascii="Times New Roman" w:hAnsi="Arial"/>
                <w:bCs/>
                <w:color w:val="FF0000"/>
                <w:szCs w:val="21"/>
                <w:highlight w:val="none"/>
              </w:rPr>
              <w:t>杭州市</w:t>
            </w:r>
            <w:r>
              <w:rPr>
                <w:rFonts w:hint="eastAsia" w:ascii="Times New Roman" w:hAnsi="Arial"/>
                <w:bCs/>
                <w:color w:val="FF0000"/>
                <w:szCs w:val="21"/>
                <w:highlight w:val="none"/>
              </w:rPr>
              <w:t>余杭</w:t>
            </w:r>
            <w:r>
              <w:rPr>
                <w:rFonts w:ascii="Times New Roman" w:hAnsi="Arial"/>
                <w:bCs/>
                <w:color w:val="FF0000"/>
                <w:szCs w:val="21"/>
                <w:highlight w:val="none"/>
              </w:rPr>
              <w:t>区教育资产营运管理中心</w:t>
            </w:r>
            <w:r>
              <w:rPr>
                <w:rFonts w:hint="eastAsia" w:ascii="Times New Roman" w:hAnsi="Times New Roman"/>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建设项目性质</w:t>
            </w:r>
          </w:p>
        </w:tc>
        <w:tc>
          <w:tcPr>
            <w:tcW w:w="6956" w:type="dxa"/>
            <w:gridSpan w:val="5"/>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建设地点</w:t>
            </w:r>
          </w:p>
        </w:tc>
        <w:tc>
          <w:tcPr>
            <w:tcW w:w="6956" w:type="dxa"/>
            <w:gridSpan w:val="5"/>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浙江省杭州市临平区临丁路66号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建设项目环评时间</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2018.7</w:t>
            </w:r>
          </w:p>
        </w:tc>
        <w:tc>
          <w:tcPr>
            <w:tcW w:w="1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开工建设时间</w:t>
            </w:r>
          </w:p>
        </w:tc>
        <w:tc>
          <w:tcPr>
            <w:tcW w:w="2850" w:type="dxa"/>
            <w:gridSpan w:val="3"/>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2018.10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调试时间</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FF0000"/>
                <w:sz w:val="24"/>
                <w:szCs w:val="21"/>
              </w:rPr>
            </w:pPr>
            <w:r>
              <w:rPr>
                <w:rFonts w:hint="eastAsia" w:ascii="Times New Roman" w:hAnsi="Times New Roman"/>
                <w:color w:val="FF0000"/>
                <w:szCs w:val="21"/>
              </w:rPr>
              <w:t>2020.9~2023.6</w:t>
            </w:r>
          </w:p>
        </w:tc>
        <w:tc>
          <w:tcPr>
            <w:tcW w:w="1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验收现场监测时间</w:t>
            </w:r>
          </w:p>
        </w:tc>
        <w:tc>
          <w:tcPr>
            <w:tcW w:w="2850" w:type="dxa"/>
            <w:gridSpan w:val="3"/>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2024.5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环评报告表</w:t>
            </w:r>
          </w:p>
          <w:p>
            <w:pPr>
              <w:jc w:val="center"/>
              <w:rPr>
                <w:rFonts w:ascii="Times New Roman" w:hAnsi="Times New Roman"/>
                <w:color w:val="000000" w:themeColor="text1"/>
                <w:sz w:val="24"/>
                <w:szCs w:val="21"/>
              </w:rPr>
            </w:pPr>
            <w:r>
              <w:rPr>
                <w:rFonts w:hint="eastAsia" w:ascii="Times New Roman" w:hAnsi="Times New Roman"/>
                <w:color w:val="000000" w:themeColor="text1"/>
                <w:szCs w:val="21"/>
              </w:rPr>
              <w:t>审批部门</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FF0000"/>
                <w:sz w:val="24"/>
                <w:szCs w:val="21"/>
              </w:rPr>
            </w:pPr>
            <w:r>
              <w:rPr>
                <w:rFonts w:hint="eastAsia" w:ascii="Times New Roman" w:hAnsi="Times New Roman"/>
                <w:color w:val="FF0000"/>
                <w:szCs w:val="21"/>
              </w:rPr>
              <w:t>原杭州市余杭</w:t>
            </w:r>
            <w:r>
              <w:rPr>
                <w:rFonts w:hint="eastAsia" w:ascii="Times New Roman" w:hAnsi="Times New Roman"/>
                <w:color w:val="FF0000"/>
                <w:szCs w:val="21"/>
                <w:lang w:val="en-US" w:eastAsia="zh-CN"/>
              </w:rPr>
              <w:t>区</w:t>
            </w:r>
            <w:r>
              <w:rPr>
                <w:rFonts w:hint="eastAsia" w:ascii="Times New Roman" w:hAnsi="Times New Roman"/>
                <w:color w:val="FF0000"/>
                <w:szCs w:val="21"/>
              </w:rPr>
              <w:t>环境保护局</w:t>
            </w:r>
          </w:p>
        </w:tc>
        <w:tc>
          <w:tcPr>
            <w:tcW w:w="1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环评报告表</w:t>
            </w:r>
          </w:p>
          <w:p>
            <w:pPr>
              <w:jc w:val="center"/>
              <w:rPr>
                <w:rFonts w:ascii="Times New Roman" w:hAnsi="Times New Roman"/>
                <w:color w:val="000000" w:themeColor="text1"/>
                <w:sz w:val="24"/>
                <w:szCs w:val="21"/>
              </w:rPr>
            </w:pPr>
            <w:r>
              <w:rPr>
                <w:rFonts w:hint="eastAsia" w:ascii="Times New Roman" w:hAnsi="Times New Roman"/>
                <w:color w:val="000000" w:themeColor="text1"/>
                <w:szCs w:val="21"/>
              </w:rPr>
              <w:t>编制单位</w:t>
            </w:r>
          </w:p>
        </w:tc>
        <w:tc>
          <w:tcPr>
            <w:tcW w:w="2850" w:type="dxa"/>
            <w:gridSpan w:val="3"/>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煤科集团杭州环保研究院有限公司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环保设施设计单位</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ascii="Times New Roman" w:hAnsi="Times New Roman"/>
                <w:color w:val="000000" w:themeColor="text1"/>
                <w:szCs w:val="21"/>
              </w:rPr>
              <w:t>/</w:t>
            </w:r>
          </w:p>
        </w:tc>
        <w:tc>
          <w:tcPr>
            <w:tcW w:w="1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环保设施施工单位</w:t>
            </w:r>
          </w:p>
        </w:tc>
        <w:tc>
          <w:tcPr>
            <w:tcW w:w="2850" w:type="dxa"/>
            <w:gridSpan w:val="3"/>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 w:val="24"/>
                <w:szCs w:val="21"/>
              </w:rPr>
            </w:pPr>
            <w:r>
              <w:rPr>
                <w:rFonts w:ascii="Times New Roman" w:hAnsi="Times New Roman"/>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投资总概算</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45500万元</w:t>
            </w:r>
          </w:p>
        </w:tc>
        <w:tc>
          <w:tcPr>
            <w:tcW w:w="1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环保投资总概算</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310万元</w:t>
            </w:r>
          </w:p>
        </w:tc>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比例</w:t>
            </w:r>
          </w:p>
        </w:tc>
        <w:tc>
          <w:tcPr>
            <w:tcW w:w="910" w:type="dxa"/>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0.68</w:t>
            </w:r>
            <w:r>
              <w:rPr>
                <w:rFonts w:ascii="Times New Roman" w:hAnsi="Times New Roman"/>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实际总概算</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45500万元</w:t>
            </w:r>
          </w:p>
        </w:tc>
        <w:tc>
          <w:tcPr>
            <w:tcW w:w="1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环保投资</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310万元</w:t>
            </w:r>
          </w:p>
        </w:tc>
        <w:tc>
          <w:tcPr>
            <w:tcW w:w="79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比例</w:t>
            </w:r>
          </w:p>
        </w:tc>
        <w:tc>
          <w:tcPr>
            <w:tcW w:w="910" w:type="dxa"/>
            <w:tcBorders>
              <w:top w:val="single" w:color="auto" w:sz="4" w:space="0"/>
              <w:left w:val="single" w:color="auto" w:sz="4" w:space="0"/>
              <w:bottom w:val="single" w:color="auto" w:sz="4" w:space="0"/>
              <w:right w:val="single" w:color="auto" w:sz="8"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0.68</w:t>
            </w:r>
            <w:r>
              <w:rPr>
                <w:rFonts w:ascii="Times New Roman" w:hAnsi="Times New Roman"/>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 w:val="24"/>
                <w:szCs w:val="21"/>
              </w:rPr>
            </w:pPr>
            <w:r>
              <w:rPr>
                <w:rFonts w:hint="eastAsia" w:ascii="Times New Roman" w:hAnsi="Times New Roman"/>
                <w:color w:val="000000" w:themeColor="text1"/>
                <w:szCs w:val="21"/>
              </w:rPr>
              <w:t>验收监测依据</w:t>
            </w:r>
          </w:p>
        </w:tc>
        <w:tc>
          <w:tcPr>
            <w:tcW w:w="6956" w:type="dxa"/>
            <w:gridSpan w:val="5"/>
            <w:tcBorders>
              <w:top w:val="single" w:color="auto" w:sz="4" w:space="0"/>
              <w:left w:val="single" w:color="auto" w:sz="4" w:space="0"/>
              <w:bottom w:val="single" w:color="auto" w:sz="4" w:space="0"/>
              <w:right w:val="single" w:color="auto" w:sz="8" w:space="0"/>
            </w:tcBorders>
            <w:vAlign w:val="center"/>
          </w:tcPr>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1</w:t>
            </w:r>
            <w:r>
              <w:rPr>
                <w:rFonts w:hint="eastAsia" w:ascii="Times New Roman" w:hAnsi="Times New Roman" w:cs="Arial"/>
                <w:color w:val="000000" w:themeColor="text1"/>
                <w:sz w:val="24"/>
              </w:rPr>
              <w:t>）《中华人民共和国环境保护法》，中华人民共和国主席令第九号，</w:t>
            </w:r>
            <w:r>
              <w:rPr>
                <w:rFonts w:ascii="Times New Roman" w:hAnsi="Times New Roman" w:cs="Arial"/>
                <w:color w:val="000000" w:themeColor="text1"/>
                <w:sz w:val="24"/>
              </w:rPr>
              <w:t>2015.1.1</w:t>
            </w:r>
            <w:r>
              <w:rPr>
                <w:rFonts w:hint="eastAsia" w:ascii="Times New Roman" w:hAnsi="Times New Roman" w:cs="Arial"/>
                <w:color w:val="000000" w:themeColor="text1"/>
                <w:sz w:val="24"/>
              </w:rPr>
              <w:t>起施行；</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2</w:t>
            </w:r>
            <w:r>
              <w:rPr>
                <w:rFonts w:hint="eastAsia" w:ascii="Times New Roman" w:hAnsi="Times New Roman" w:cs="Arial"/>
                <w:color w:val="000000" w:themeColor="text1"/>
                <w:sz w:val="24"/>
              </w:rPr>
              <w:t>）《中华人民共和国环境影响评价法（</w:t>
            </w:r>
            <w:r>
              <w:rPr>
                <w:rFonts w:ascii="Times New Roman" w:hAnsi="Times New Roman" w:cs="Arial"/>
                <w:color w:val="000000" w:themeColor="text1"/>
                <w:sz w:val="24"/>
              </w:rPr>
              <w:t>2018</w:t>
            </w:r>
            <w:r>
              <w:rPr>
                <w:rFonts w:hint="eastAsia" w:ascii="Times New Roman" w:hAnsi="Times New Roman" w:cs="Arial"/>
                <w:color w:val="000000" w:themeColor="text1"/>
                <w:sz w:val="24"/>
              </w:rPr>
              <w:t>修订）》，中华人民共和国主席令第二十四号，</w:t>
            </w:r>
            <w:r>
              <w:rPr>
                <w:rFonts w:ascii="Times New Roman" w:hAnsi="Times New Roman" w:cs="Arial"/>
                <w:color w:val="000000" w:themeColor="text1"/>
                <w:sz w:val="24"/>
              </w:rPr>
              <w:t>2018.12.29</w:t>
            </w:r>
            <w:r>
              <w:rPr>
                <w:rFonts w:hint="eastAsia" w:ascii="Times New Roman" w:hAnsi="Times New Roman" w:cs="Arial"/>
                <w:color w:val="000000" w:themeColor="text1"/>
                <w:sz w:val="24"/>
              </w:rPr>
              <w:t>起施行；</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3</w:t>
            </w:r>
            <w:r>
              <w:rPr>
                <w:rFonts w:hint="eastAsia" w:ascii="Times New Roman" w:hAnsi="Times New Roman" w:cs="Arial"/>
                <w:color w:val="000000" w:themeColor="text1"/>
                <w:sz w:val="24"/>
              </w:rPr>
              <w:t>）《中华人民共和国水污染防治法（</w:t>
            </w:r>
            <w:r>
              <w:rPr>
                <w:rFonts w:ascii="Times New Roman" w:hAnsi="Times New Roman" w:cs="Arial"/>
                <w:color w:val="000000" w:themeColor="text1"/>
                <w:sz w:val="24"/>
              </w:rPr>
              <w:t>2017</w:t>
            </w:r>
            <w:r>
              <w:rPr>
                <w:rFonts w:hint="eastAsia" w:ascii="Times New Roman" w:hAnsi="Times New Roman" w:cs="Arial"/>
                <w:color w:val="000000" w:themeColor="text1"/>
                <w:sz w:val="24"/>
              </w:rPr>
              <w:t>年修订）》，中华人民共和国主席令第七十号，</w:t>
            </w:r>
            <w:r>
              <w:rPr>
                <w:rFonts w:ascii="Times New Roman" w:hAnsi="Times New Roman" w:cs="Arial"/>
                <w:color w:val="000000" w:themeColor="text1"/>
                <w:sz w:val="24"/>
              </w:rPr>
              <w:t>2018.1.1</w:t>
            </w:r>
            <w:r>
              <w:rPr>
                <w:rFonts w:hint="eastAsia" w:ascii="Times New Roman" w:hAnsi="Times New Roman" w:cs="Arial"/>
                <w:color w:val="000000" w:themeColor="text1"/>
                <w:sz w:val="24"/>
              </w:rPr>
              <w:t>起施行；</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4</w:t>
            </w:r>
            <w:r>
              <w:rPr>
                <w:rFonts w:hint="eastAsia" w:ascii="Times New Roman" w:hAnsi="Times New Roman" w:cs="Arial"/>
                <w:color w:val="000000" w:themeColor="text1"/>
                <w:sz w:val="24"/>
              </w:rPr>
              <w:t>）</w:t>
            </w:r>
            <w:r>
              <w:rPr>
                <w:rFonts w:hint="eastAsia" w:ascii="Times New Roman" w:hAnsi="Times New Roman"/>
                <w:color w:val="000000" w:themeColor="text1"/>
                <w:sz w:val="24"/>
              </w:rPr>
              <w:t>《中华人民共和国大气污染防治法（</w:t>
            </w:r>
            <w:r>
              <w:rPr>
                <w:rFonts w:ascii="Times New Roman" w:hAnsi="Times New Roman"/>
                <w:color w:val="000000" w:themeColor="text1"/>
                <w:sz w:val="24"/>
              </w:rPr>
              <w:t>2018</w:t>
            </w:r>
            <w:r>
              <w:rPr>
                <w:rFonts w:hint="eastAsia" w:ascii="Times New Roman" w:hAnsi="Times New Roman"/>
                <w:color w:val="000000" w:themeColor="text1"/>
                <w:sz w:val="24"/>
              </w:rPr>
              <w:t>年修正）》，第十三届全国人民代表大会常务委员会第六次会议，</w:t>
            </w:r>
            <w:r>
              <w:rPr>
                <w:rFonts w:ascii="Times New Roman" w:hAnsi="Times New Roman"/>
                <w:color w:val="000000" w:themeColor="text1"/>
                <w:sz w:val="24"/>
              </w:rPr>
              <w:t>2018.10.26</w:t>
            </w:r>
            <w:r>
              <w:rPr>
                <w:rFonts w:hint="eastAsia" w:ascii="Times New Roman" w:hAnsi="Times New Roman"/>
                <w:color w:val="000000" w:themeColor="text1"/>
                <w:sz w:val="24"/>
              </w:rPr>
              <w:t>起施行；</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5</w:t>
            </w:r>
            <w:r>
              <w:rPr>
                <w:rFonts w:hint="eastAsia" w:ascii="Times New Roman" w:hAnsi="Times New Roman" w:cs="Arial"/>
                <w:color w:val="000000" w:themeColor="text1"/>
                <w:sz w:val="24"/>
              </w:rPr>
              <w:t>）《中华人民共和国固体废物污染环境防治法》，中华人民共和国主席令第四十号，</w:t>
            </w:r>
            <w:r>
              <w:rPr>
                <w:rFonts w:ascii="Times New Roman" w:hAnsi="Times New Roman" w:cs="Arial"/>
                <w:color w:val="000000" w:themeColor="text1"/>
                <w:sz w:val="24"/>
              </w:rPr>
              <w:t>2020.9.1</w:t>
            </w:r>
            <w:r>
              <w:rPr>
                <w:rFonts w:hint="eastAsia" w:ascii="Times New Roman" w:hAnsi="Times New Roman" w:cs="Arial"/>
                <w:color w:val="000000" w:themeColor="text1"/>
                <w:sz w:val="24"/>
              </w:rPr>
              <w:t>起施行；</w:t>
            </w:r>
          </w:p>
          <w:p>
            <w:pPr>
              <w:tabs>
                <w:tab w:val="left" w:pos="567"/>
              </w:tabs>
              <w:spacing w:line="360" w:lineRule="auto"/>
              <w:ind w:firstLine="480" w:firstLineChars="200"/>
              <w:rPr>
                <w:rFonts w:ascii="Times New Roman" w:hAnsi="Times New Roman"/>
                <w:bCs/>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6</w:t>
            </w:r>
            <w:r>
              <w:rPr>
                <w:rFonts w:hint="eastAsia" w:ascii="Times New Roman" w:hAnsi="Times New Roman" w:cs="Arial"/>
                <w:color w:val="000000" w:themeColor="text1"/>
                <w:sz w:val="24"/>
              </w:rPr>
              <w:t>）《中华人民共和国环境噪声污染防治法（</w:t>
            </w:r>
            <w:r>
              <w:rPr>
                <w:rFonts w:ascii="Times New Roman" w:hAnsi="Times New Roman" w:cs="Arial"/>
                <w:color w:val="000000" w:themeColor="text1"/>
                <w:sz w:val="24"/>
              </w:rPr>
              <w:t>2018</w:t>
            </w:r>
            <w:r>
              <w:rPr>
                <w:rFonts w:hint="eastAsia" w:ascii="Times New Roman" w:hAnsi="Times New Roman" w:cs="Arial"/>
                <w:color w:val="000000" w:themeColor="text1"/>
                <w:sz w:val="24"/>
              </w:rPr>
              <w:t>修订）》，中华人民共和国主席令第二十四号，</w:t>
            </w:r>
            <w:r>
              <w:rPr>
                <w:rFonts w:ascii="Times New Roman" w:hAnsi="Times New Roman" w:cs="Arial"/>
                <w:color w:val="000000" w:themeColor="text1"/>
                <w:sz w:val="24"/>
              </w:rPr>
              <w:t>2018.12.29</w:t>
            </w:r>
            <w:r>
              <w:rPr>
                <w:rFonts w:hint="eastAsia" w:ascii="Times New Roman" w:hAnsi="Times New Roman" w:cs="Arial"/>
                <w:color w:val="000000" w:themeColor="text1"/>
                <w:sz w:val="24"/>
              </w:rPr>
              <w:t>起施行；</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7</w:t>
            </w:r>
            <w:r>
              <w:rPr>
                <w:rFonts w:hint="eastAsia" w:ascii="Times New Roman" w:hAnsi="Times New Roman" w:cs="Arial"/>
                <w:color w:val="000000" w:themeColor="text1"/>
                <w:sz w:val="24"/>
              </w:rPr>
              <w:t>）《建设项目环境保护管理条例》，中华人民共和国国务院令第</w:t>
            </w:r>
            <w:r>
              <w:rPr>
                <w:rFonts w:ascii="Times New Roman" w:hAnsi="Times New Roman" w:cs="Arial"/>
                <w:color w:val="000000" w:themeColor="text1"/>
                <w:sz w:val="24"/>
              </w:rPr>
              <w:t>682</w:t>
            </w:r>
            <w:r>
              <w:rPr>
                <w:rFonts w:hint="eastAsia" w:ascii="Times New Roman" w:hAnsi="Times New Roman" w:cs="Arial"/>
                <w:color w:val="000000" w:themeColor="text1"/>
                <w:sz w:val="24"/>
              </w:rPr>
              <w:t>号，</w:t>
            </w:r>
            <w:r>
              <w:rPr>
                <w:rFonts w:ascii="Times New Roman" w:hAnsi="Times New Roman" w:cs="Arial"/>
                <w:color w:val="000000" w:themeColor="text1"/>
                <w:sz w:val="24"/>
              </w:rPr>
              <w:t>2017.10.1</w:t>
            </w:r>
            <w:r>
              <w:rPr>
                <w:rFonts w:hint="eastAsia" w:ascii="Times New Roman" w:hAnsi="Times New Roman" w:cs="Arial"/>
                <w:color w:val="000000" w:themeColor="text1"/>
                <w:sz w:val="24"/>
              </w:rPr>
              <w:t>实施；</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8</w:t>
            </w:r>
            <w:r>
              <w:rPr>
                <w:rFonts w:hint="eastAsia" w:ascii="Times New Roman" w:hAnsi="Times New Roman" w:cs="Arial"/>
                <w:color w:val="000000" w:themeColor="text1"/>
                <w:sz w:val="24"/>
              </w:rPr>
              <w:t>）《建设项目竣工环境保护验收暂行办法》，国环规环评</w:t>
            </w:r>
            <w:r>
              <w:rPr>
                <w:rFonts w:ascii="Times New Roman" w:hAnsi="Times New Roman" w:cs="Arial"/>
                <w:color w:val="000000" w:themeColor="text1"/>
                <w:sz w:val="24"/>
              </w:rPr>
              <w:t>[2017]4</w:t>
            </w:r>
            <w:r>
              <w:rPr>
                <w:rFonts w:hint="eastAsia" w:ascii="Times New Roman" w:hAnsi="Times New Roman" w:cs="Arial"/>
                <w:color w:val="000000" w:themeColor="text1"/>
                <w:sz w:val="24"/>
              </w:rPr>
              <w:t>号，</w:t>
            </w:r>
            <w:r>
              <w:rPr>
                <w:rFonts w:ascii="Times New Roman" w:hAnsi="Times New Roman" w:cs="Arial"/>
                <w:color w:val="000000" w:themeColor="text1"/>
                <w:sz w:val="24"/>
              </w:rPr>
              <w:t>2017.11.20</w:t>
            </w:r>
            <w:r>
              <w:rPr>
                <w:rFonts w:hint="eastAsia" w:ascii="Times New Roman" w:hAnsi="Times New Roman" w:cs="Arial"/>
                <w:color w:val="000000" w:themeColor="text1"/>
                <w:sz w:val="24"/>
              </w:rPr>
              <w:t>实施；</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9</w:t>
            </w:r>
            <w:r>
              <w:rPr>
                <w:rFonts w:hint="eastAsia" w:ascii="Times New Roman" w:hAnsi="Times New Roman" w:cs="Arial"/>
                <w:color w:val="000000" w:themeColor="text1"/>
                <w:sz w:val="24"/>
              </w:rPr>
              <w:t>）《浙江省建设项目环境保护管理办法（</w:t>
            </w:r>
            <w:r>
              <w:rPr>
                <w:rFonts w:ascii="Times New Roman" w:hAnsi="Times New Roman" w:cs="Arial"/>
                <w:color w:val="000000" w:themeColor="text1"/>
                <w:sz w:val="24"/>
              </w:rPr>
              <w:t>2018</w:t>
            </w:r>
            <w:r>
              <w:rPr>
                <w:rFonts w:hint="eastAsia" w:ascii="Times New Roman" w:hAnsi="Times New Roman" w:cs="Arial"/>
                <w:color w:val="000000" w:themeColor="text1"/>
                <w:sz w:val="24"/>
              </w:rPr>
              <w:t>年修正）》，省政府令第</w:t>
            </w:r>
            <w:r>
              <w:rPr>
                <w:rFonts w:ascii="Times New Roman" w:hAnsi="Times New Roman" w:cs="Arial"/>
                <w:color w:val="000000" w:themeColor="text1"/>
                <w:sz w:val="24"/>
              </w:rPr>
              <w:t>288</w:t>
            </w:r>
            <w:r>
              <w:rPr>
                <w:rFonts w:hint="eastAsia" w:ascii="Times New Roman" w:hAnsi="Times New Roman" w:cs="Arial"/>
                <w:color w:val="000000" w:themeColor="text1"/>
                <w:sz w:val="24"/>
              </w:rPr>
              <w:t>号颁布，浙江省政府令第</w:t>
            </w:r>
            <w:r>
              <w:rPr>
                <w:rFonts w:ascii="Times New Roman" w:hAnsi="Times New Roman" w:cs="Arial"/>
                <w:color w:val="000000" w:themeColor="text1"/>
                <w:sz w:val="24"/>
              </w:rPr>
              <w:t>364</w:t>
            </w:r>
            <w:r>
              <w:rPr>
                <w:rFonts w:hint="eastAsia" w:ascii="Times New Roman" w:hAnsi="Times New Roman" w:cs="Arial"/>
                <w:color w:val="000000" w:themeColor="text1"/>
                <w:sz w:val="24"/>
              </w:rPr>
              <w:t>号修订，</w:t>
            </w:r>
            <w:r>
              <w:rPr>
                <w:rFonts w:ascii="Times New Roman" w:hAnsi="Times New Roman" w:cs="Arial"/>
                <w:color w:val="000000" w:themeColor="text1"/>
                <w:sz w:val="24"/>
              </w:rPr>
              <w:t>2018.1.22</w:t>
            </w:r>
            <w:r>
              <w:rPr>
                <w:rFonts w:hint="eastAsia" w:ascii="Times New Roman" w:hAnsi="Times New Roman" w:cs="Arial"/>
                <w:color w:val="000000" w:themeColor="text1"/>
                <w:sz w:val="24"/>
              </w:rPr>
              <w:t>修订；</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10</w:t>
            </w:r>
            <w:r>
              <w:rPr>
                <w:rFonts w:hint="eastAsia" w:ascii="Times New Roman" w:hAnsi="Times New Roman" w:cs="Arial"/>
                <w:color w:val="000000" w:themeColor="text1"/>
                <w:sz w:val="24"/>
              </w:rPr>
              <w:t>）《浙江省大气污染防治条例》，浙江省第十届人民代表大会常务委员会第四次会议，</w:t>
            </w:r>
            <w:r>
              <w:rPr>
                <w:rFonts w:ascii="Times New Roman" w:hAnsi="Times New Roman" w:cs="Arial"/>
                <w:color w:val="000000" w:themeColor="text1"/>
                <w:sz w:val="24"/>
              </w:rPr>
              <w:t>2003.6.27</w:t>
            </w:r>
            <w:r>
              <w:rPr>
                <w:rFonts w:hint="eastAsia" w:ascii="Times New Roman" w:hAnsi="Times New Roman" w:cs="Arial"/>
                <w:color w:val="000000" w:themeColor="text1"/>
                <w:sz w:val="24"/>
              </w:rPr>
              <w:t>通过；第十届浙江省人大常委会，</w:t>
            </w:r>
            <w:r>
              <w:rPr>
                <w:rFonts w:ascii="Times New Roman" w:hAnsi="Times New Roman" w:cs="Arial"/>
                <w:color w:val="000000" w:themeColor="text1"/>
                <w:sz w:val="24"/>
              </w:rPr>
              <w:t>2016.5.27</w:t>
            </w:r>
            <w:r>
              <w:rPr>
                <w:rFonts w:hint="eastAsia" w:ascii="Times New Roman" w:hAnsi="Times New Roman" w:cs="Arial"/>
                <w:color w:val="000000" w:themeColor="text1"/>
                <w:sz w:val="24"/>
              </w:rPr>
              <w:t>修订；</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11</w:t>
            </w:r>
            <w:r>
              <w:rPr>
                <w:rFonts w:hint="eastAsia" w:ascii="Times New Roman" w:hAnsi="Times New Roman" w:cs="Arial"/>
                <w:color w:val="000000" w:themeColor="text1"/>
                <w:sz w:val="24"/>
              </w:rPr>
              <w:t>）《浙江省水污染防治条例》，第十一届浙江省人大常委会第六次会议通过，浙江省第十一届人大常务委会公告第</w:t>
            </w:r>
            <w:r>
              <w:rPr>
                <w:rFonts w:ascii="Times New Roman" w:hAnsi="Times New Roman" w:cs="Arial"/>
                <w:color w:val="000000" w:themeColor="text1"/>
                <w:sz w:val="24"/>
              </w:rPr>
              <w:t>11</w:t>
            </w:r>
            <w:r>
              <w:rPr>
                <w:rFonts w:hint="eastAsia" w:ascii="Times New Roman" w:hAnsi="Times New Roman" w:cs="Arial"/>
                <w:color w:val="000000" w:themeColor="text1"/>
                <w:sz w:val="24"/>
              </w:rPr>
              <w:t>号公布修改，</w:t>
            </w:r>
            <w:r>
              <w:rPr>
                <w:rFonts w:ascii="Times New Roman" w:hAnsi="Times New Roman" w:cs="Arial"/>
                <w:color w:val="000000" w:themeColor="text1"/>
                <w:sz w:val="24"/>
              </w:rPr>
              <w:t>2013.12.19</w:t>
            </w:r>
            <w:r>
              <w:rPr>
                <w:rFonts w:hint="eastAsia" w:ascii="Times New Roman" w:hAnsi="Times New Roman" w:cs="Arial"/>
                <w:color w:val="000000" w:themeColor="text1"/>
                <w:sz w:val="24"/>
              </w:rPr>
              <w:t>；浙江省人民代表大会常务委员会公告第</w:t>
            </w:r>
            <w:r>
              <w:rPr>
                <w:rFonts w:ascii="Times New Roman" w:hAnsi="Times New Roman" w:cs="Arial"/>
                <w:color w:val="000000" w:themeColor="text1"/>
                <w:sz w:val="24"/>
              </w:rPr>
              <w:t>74</w:t>
            </w:r>
            <w:r>
              <w:rPr>
                <w:rFonts w:hint="eastAsia" w:ascii="Times New Roman" w:hAnsi="Times New Roman" w:cs="Arial"/>
                <w:color w:val="000000" w:themeColor="text1"/>
                <w:sz w:val="24"/>
              </w:rPr>
              <w:t>号修改，</w:t>
            </w:r>
            <w:r>
              <w:rPr>
                <w:rFonts w:ascii="Times New Roman" w:hAnsi="Times New Roman" w:cs="Arial"/>
                <w:color w:val="000000" w:themeColor="text1"/>
                <w:sz w:val="24"/>
              </w:rPr>
              <w:t>2017.11.30</w:t>
            </w:r>
            <w:r>
              <w:rPr>
                <w:rFonts w:hint="eastAsia" w:ascii="Times New Roman" w:hAnsi="Times New Roman" w:cs="Arial"/>
                <w:color w:val="000000" w:themeColor="text1"/>
                <w:sz w:val="24"/>
              </w:rPr>
              <w:t>；</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12</w:t>
            </w:r>
            <w:r>
              <w:rPr>
                <w:rFonts w:hint="eastAsia" w:ascii="Times New Roman" w:hAnsi="Times New Roman" w:cs="Arial"/>
                <w:color w:val="000000" w:themeColor="text1"/>
                <w:sz w:val="24"/>
              </w:rPr>
              <w:t>）《浙江省固体废物污染环境防治条例》，第十届浙江省人大常委会第二十四次会议通过，</w:t>
            </w:r>
            <w:r>
              <w:rPr>
                <w:rFonts w:ascii="Times New Roman" w:hAnsi="Times New Roman" w:cs="Arial"/>
                <w:color w:val="000000" w:themeColor="text1"/>
                <w:sz w:val="24"/>
              </w:rPr>
              <w:t>2022</w:t>
            </w:r>
            <w:r>
              <w:rPr>
                <w:rFonts w:hint="eastAsia" w:ascii="Times New Roman" w:hAnsi="Times New Roman" w:cs="Arial"/>
                <w:color w:val="000000" w:themeColor="text1"/>
                <w:sz w:val="24"/>
              </w:rPr>
              <w:t>年</w:t>
            </w:r>
            <w:r>
              <w:rPr>
                <w:rFonts w:ascii="Times New Roman" w:hAnsi="Times New Roman" w:cs="Arial"/>
                <w:color w:val="000000" w:themeColor="text1"/>
                <w:sz w:val="24"/>
              </w:rPr>
              <w:t>9</w:t>
            </w:r>
            <w:r>
              <w:rPr>
                <w:rFonts w:hint="eastAsia" w:ascii="Times New Roman" w:hAnsi="Times New Roman" w:cs="Arial"/>
                <w:color w:val="000000" w:themeColor="text1"/>
                <w:sz w:val="24"/>
              </w:rPr>
              <w:t>月</w:t>
            </w:r>
            <w:r>
              <w:rPr>
                <w:rFonts w:ascii="Times New Roman" w:hAnsi="Times New Roman" w:cs="Arial"/>
                <w:color w:val="000000" w:themeColor="text1"/>
                <w:sz w:val="24"/>
              </w:rPr>
              <w:t>29</w:t>
            </w:r>
            <w:r>
              <w:rPr>
                <w:rFonts w:hint="eastAsia" w:ascii="Times New Roman" w:hAnsi="Times New Roman" w:cs="Arial"/>
                <w:color w:val="000000" w:themeColor="text1"/>
                <w:sz w:val="24"/>
              </w:rPr>
              <w:t>日浙江省第十三届人民代表大会常务委员会第三十八次会议修订通过，</w:t>
            </w:r>
            <w:r>
              <w:rPr>
                <w:rFonts w:ascii="Times New Roman" w:hAnsi="Times New Roman" w:cs="Arial"/>
                <w:color w:val="000000" w:themeColor="text1"/>
                <w:sz w:val="24"/>
              </w:rPr>
              <w:t>2023</w:t>
            </w:r>
            <w:r>
              <w:rPr>
                <w:rFonts w:hint="eastAsia" w:ascii="Times New Roman" w:hAnsi="Times New Roman" w:cs="Arial"/>
                <w:color w:val="000000" w:themeColor="text1"/>
                <w:sz w:val="24"/>
              </w:rPr>
              <w:t>年</w:t>
            </w:r>
            <w:r>
              <w:rPr>
                <w:rFonts w:ascii="Times New Roman" w:hAnsi="Times New Roman" w:cs="Arial"/>
                <w:color w:val="000000" w:themeColor="text1"/>
                <w:sz w:val="24"/>
              </w:rPr>
              <w:t>1</w:t>
            </w:r>
            <w:r>
              <w:rPr>
                <w:rFonts w:hint="eastAsia" w:ascii="Times New Roman" w:hAnsi="Times New Roman" w:cs="Arial"/>
                <w:color w:val="000000" w:themeColor="text1"/>
                <w:sz w:val="24"/>
              </w:rPr>
              <w:t>月</w:t>
            </w:r>
            <w:r>
              <w:rPr>
                <w:rFonts w:ascii="Times New Roman" w:hAnsi="Times New Roman" w:cs="Arial"/>
                <w:color w:val="000000" w:themeColor="text1"/>
                <w:sz w:val="24"/>
              </w:rPr>
              <w:t>1</w:t>
            </w:r>
            <w:r>
              <w:rPr>
                <w:rFonts w:hint="eastAsia" w:ascii="Times New Roman" w:hAnsi="Times New Roman" w:cs="Arial"/>
                <w:color w:val="000000" w:themeColor="text1"/>
                <w:sz w:val="24"/>
              </w:rPr>
              <w:t>日正式施行。</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13</w:t>
            </w:r>
            <w:r>
              <w:rPr>
                <w:rFonts w:hint="eastAsia" w:ascii="Times New Roman" w:hAnsi="Times New Roman" w:cs="Arial"/>
                <w:color w:val="000000" w:themeColor="text1"/>
                <w:sz w:val="24"/>
              </w:rPr>
              <w:t>）《建设项目竣工验收环境保护验收技术指南污染影响类》，生态环境部公告</w:t>
            </w:r>
            <w:r>
              <w:rPr>
                <w:rFonts w:ascii="Times New Roman" w:hAnsi="Times New Roman" w:cs="Arial"/>
                <w:color w:val="000000" w:themeColor="text1"/>
                <w:sz w:val="24"/>
              </w:rPr>
              <w:t>2018</w:t>
            </w:r>
            <w:r>
              <w:rPr>
                <w:rFonts w:hint="eastAsia" w:ascii="Times New Roman" w:hAnsi="Times New Roman" w:cs="Arial"/>
                <w:color w:val="000000" w:themeColor="text1"/>
                <w:sz w:val="24"/>
              </w:rPr>
              <w:t>年第</w:t>
            </w:r>
            <w:r>
              <w:rPr>
                <w:rFonts w:ascii="Times New Roman" w:hAnsi="Times New Roman" w:cs="Arial"/>
                <w:color w:val="000000" w:themeColor="text1"/>
                <w:sz w:val="24"/>
              </w:rPr>
              <w:t>9</w:t>
            </w:r>
            <w:r>
              <w:rPr>
                <w:rFonts w:hint="eastAsia" w:ascii="Times New Roman" w:hAnsi="Times New Roman" w:cs="Arial"/>
                <w:color w:val="000000" w:themeColor="text1"/>
                <w:sz w:val="24"/>
              </w:rPr>
              <w:t>号，</w:t>
            </w:r>
            <w:r>
              <w:rPr>
                <w:rFonts w:ascii="Times New Roman" w:hAnsi="Times New Roman" w:cs="Arial"/>
                <w:color w:val="000000" w:themeColor="text1"/>
                <w:sz w:val="24"/>
              </w:rPr>
              <w:t>2018.5.15</w:t>
            </w:r>
            <w:r>
              <w:rPr>
                <w:rFonts w:hint="eastAsia" w:ascii="Times New Roman" w:hAnsi="Times New Roman" w:cs="Arial"/>
                <w:color w:val="000000" w:themeColor="text1"/>
                <w:sz w:val="24"/>
              </w:rPr>
              <w:t>；</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14</w:t>
            </w:r>
            <w:r>
              <w:rPr>
                <w:rFonts w:hint="eastAsia" w:ascii="Times New Roman" w:hAnsi="Times New Roman" w:cs="Arial"/>
                <w:color w:val="000000" w:themeColor="text1"/>
                <w:sz w:val="24"/>
              </w:rPr>
              <w:t>）《</w:t>
            </w:r>
            <w:r>
              <w:rPr>
                <w:rFonts w:hint="eastAsia" w:ascii="Times New Roman" w:hAnsi="Times New Roman" w:cs="Arial"/>
                <w:bCs/>
                <w:color w:val="000000" w:themeColor="text1"/>
                <w:sz w:val="24"/>
              </w:rPr>
              <w:t>余杭区星桥九年一贯制学校项目</w:t>
            </w:r>
            <w:r>
              <w:rPr>
                <w:rFonts w:hint="eastAsia" w:ascii="Times New Roman" w:hAnsi="Times New Roman" w:cs="Arial"/>
                <w:color w:val="000000" w:themeColor="text1"/>
                <w:sz w:val="24"/>
              </w:rPr>
              <w:t>环境影响报告表》，</w:t>
            </w:r>
            <w:r>
              <w:rPr>
                <w:rFonts w:hint="eastAsia" w:ascii="Times New Roman" w:hAnsi="Times New Roman"/>
                <w:color w:val="000000" w:themeColor="text1"/>
                <w:sz w:val="24"/>
              </w:rPr>
              <w:t>煤科集团杭州环保研究院有限公司</w:t>
            </w:r>
            <w:r>
              <w:rPr>
                <w:rFonts w:hint="eastAsia" w:ascii="Times New Roman" w:hAnsi="Times New Roman" w:cs="Arial"/>
                <w:color w:val="000000" w:themeColor="text1"/>
                <w:sz w:val="24"/>
              </w:rPr>
              <w:t>，</w:t>
            </w:r>
            <w:r>
              <w:rPr>
                <w:rFonts w:ascii="Times New Roman" w:hAnsi="Times New Roman" w:cs="Arial"/>
                <w:color w:val="000000" w:themeColor="text1"/>
                <w:sz w:val="24"/>
              </w:rPr>
              <w:t>20</w:t>
            </w:r>
            <w:r>
              <w:rPr>
                <w:rFonts w:hint="eastAsia" w:ascii="Times New Roman" w:hAnsi="Times New Roman" w:cs="Arial"/>
                <w:color w:val="000000" w:themeColor="text1"/>
                <w:sz w:val="24"/>
              </w:rPr>
              <w:t>18.7；</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15</w:t>
            </w:r>
            <w:r>
              <w:rPr>
                <w:rFonts w:hint="eastAsia" w:ascii="Times New Roman" w:hAnsi="Times New Roman" w:cs="Arial"/>
                <w:color w:val="000000" w:themeColor="text1"/>
                <w:sz w:val="24"/>
              </w:rPr>
              <w:t>）</w:t>
            </w:r>
            <w:r>
              <w:rPr>
                <w:rFonts w:hint="eastAsia" w:ascii="Times New Roman" w:hAnsi="Times New Roman" w:cs="Arial"/>
                <w:color w:val="FF0000"/>
                <w:sz w:val="24"/>
              </w:rPr>
              <w:t>原杭州市余杭</w:t>
            </w:r>
            <w:r>
              <w:rPr>
                <w:rFonts w:hint="eastAsia" w:ascii="Times New Roman" w:hAnsi="Times New Roman" w:cs="Arial"/>
                <w:color w:val="FF0000"/>
                <w:sz w:val="24"/>
                <w:lang w:val="en-US" w:eastAsia="zh-CN"/>
              </w:rPr>
              <w:t>区</w:t>
            </w:r>
            <w:r>
              <w:rPr>
                <w:rFonts w:hint="eastAsia" w:ascii="Times New Roman" w:hAnsi="Times New Roman" w:cs="Arial"/>
                <w:color w:val="FF0000"/>
                <w:sz w:val="24"/>
              </w:rPr>
              <w:t>环境保护局</w:t>
            </w:r>
            <w:r>
              <w:rPr>
                <w:rFonts w:hint="eastAsia" w:ascii="Times New Roman" w:hAnsi="Times New Roman" w:cs="Arial"/>
                <w:color w:val="000000" w:themeColor="text1"/>
                <w:sz w:val="24"/>
              </w:rPr>
              <w:t>出具的《</w:t>
            </w:r>
            <w:r>
              <w:rPr>
                <w:rFonts w:hint="eastAsia" w:ascii="Times New Roman" w:hAnsi="Times New Roman" w:cs="Arial"/>
                <w:bCs/>
                <w:color w:val="000000" w:themeColor="text1"/>
                <w:sz w:val="24"/>
              </w:rPr>
              <w:t>杭州市余杭区教育资产营运管理中心余杭区星桥九年一贯制学校项目</w:t>
            </w:r>
            <w:r>
              <w:rPr>
                <w:rFonts w:hint="eastAsia" w:ascii="Times New Roman" w:hAnsi="Times New Roman" w:cs="Arial"/>
                <w:color w:val="000000" w:themeColor="text1"/>
                <w:sz w:val="24"/>
              </w:rPr>
              <w:t>环境影响报告表的审批意见》（环评批复〔2018〕256号）；</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16</w:t>
            </w:r>
            <w:r>
              <w:rPr>
                <w:rFonts w:hint="eastAsia" w:ascii="Times New Roman" w:hAnsi="Times New Roman" w:cs="Arial"/>
                <w:color w:val="000000" w:themeColor="text1"/>
                <w:sz w:val="24"/>
              </w:rPr>
              <w:t>）《</w:t>
            </w:r>
            <w:r>
              <w:rPr>
                <w:rFonts w:hint="eastAsia" w:ascii="Times New Roman" w:hAnsi="Times New Roman" w:cs="Arial"/>
                <w:bCs/>
                <w:color w:val="000000" w:themeColor="text1"/>
                <w:sz w:val="24"/>
              </w:rPr>
              <w:t>余杭区星桥九年一贯制学校</w:t>
            </w:r>
            <w:r>
              <w:rPr>
                <w:rFonts w:hint="eastAsia" w:ascii="Times New Roman" w:hAnsi="Times New Roman" w:cs="Arial"/>
                <w:color w:val="000000" w:themeColor="text1"/>
                <w:sz w:val="24"/>
              </w:rPr>
              <w:t>项目检测报告》（杭州中环检测技术有限公司，杭中环检测（</w:t>
            </w:r>
            <w:r>
              <w:rPr>
                <w:rFonts w:ascii="Times New Roman" w:hAnsi="Times New Roman" w:cs="Arial"/>
                <w:color w:val="000000" w:themeColor="text1"/>
                <w:sz w:val="24"/>
              </w:rPr>
              <w:t>2024</w:t>
            </w:r>
            <w:r>
              <w:rPr>
                <w:rFonts w:hint="eastAsia" w:ascii="Times New Roman" w:hAnsi="Times New Roman" w:cs="Arial"/>
                <w:color w:val="000000" w:themeColor="text1"/>
                <w:sz w:val="24"/>
              </w:rPr>
              <w:t>）检字第</w:t>
            </w:r>
            <w:r>
              <w:rPr>
                <w:rFonts w:ascii="Times New Roman" w:hAnsi="Times New Roman" w:cs="Arial"/>
                <w:color w:val="000000" w:themeColor="text1"/>
                <w:sz w:val="24"/>
              </w:rPr>
              <w:t>202405008</w:t>
            </w:r>
            <w:r>
              <w:rPr>
                <w:rFonts w:hint="eastAsia" w:ascii="Times New Roman" w:hAnsi="Times New Roman" w:cs="Arial"/>
                <w:color w:val="000000" w:themeColor="text1"/>
                <w:sz w:val="24"/>
              </w:rPr>
              <w:t>3号、第</w:t>
            </w:r>
            <w:r>
              <w:rPr>
                <w:rFonts w:ascii="Times New Roman" w:hAnsi="Times New Roman" w:cs="Arial"/>
                <w:color w:val="000000" w:themeColor="text1"/>
                <w:sz w:val="24"/>
              </w:rPr>
              <w:t>2024050084</w:t>
            </w:r>
            <w:r>
              <w:rPr>
                <w:rFonts w:hint="eastAsia" w:ascii="Times New Roman" w:hAnsi="Times New Roman" w:cs="Arial"/>
                <w:color w:val="000000" w:themeColor="text1"/>
                <w:sz w:val="24"/>
              </w:rPr>
              <w:t>号、第</w:t>
            </w:r>
            <w:r>
              <w:rPr>
                <w:rFonts w:ascii="Times New Roman" w:hAnsi="Times New Roman" w:cs="Arial"/>
                <w:color w:val="000000" w:themeColor="text1"/>
                <w:sz w:val="24"/>
              </w:rPr>
              <w:t>202405008</w:t>
            </w:r>
            <w:r>
              <w:rPr>
                <w:rFonts w:hint="eastAsia" w:ascii="Times New Roman" w:hAnsi="Times New Roman" w:cs="Arial"/>
                <w:color w:val="000000" w:themeColor="text1"/>
                <w:sz w:val="24"/>
              </w:rPr>
              <w:t>5号、第</w:t>
            </w:r>
            <w:r>
              <w:rPr>
                <w:rFonts w:ascii="Times New Roman" w:hAnsi="Times New Roman" w:cs="Arial"/>
                <w:color w:val="000000" w:themeColor="text1"/>
                <w:sz w:val="24"/>
              </w:rPr>
              <w:t>202405008</w:t>
            </w:r>
            <w:r>
              <w:rPr>
                <w:rFonts w:hint="eastAsia" w:ascii="Times New Roman" w:hAnsi="Times New Roman" w:cs="Arial"/>
                <w:color w:val="000000" w:themeColor="text1"/>
                <w:sz w:val="24"/>
              </w:rPr>
              <w:t>6号）</w:t>
            </w:r>
          </w:p>
          <w:p>
            <w:pPr>
              <w:tabs>
                <w:tab w:val="left" w:pos="567"/>
              </w:tabs>
              <w:spacing w:line="360" w:lineRule="auto"/>
              <w:ind w:firstLine="480" w:firstLineChars="200"/>
              <w:rPr>
                <w:rFonts w:ascii="Times New Roman" w:hAnsi="Times New Roman"/>
                <w:bCs/>
                <w:color w:val="000000" w:themeColor="text1"/>
                <w:sz w:val="24"/>
                <w:szCs w:val="21"/>
              </w:rPr>
            </w:pPr>
            <w:r>
              <w:rPr>
                <w:rFonts w:hint="eastAsia" w:ascii="Times New Roman" w:hAnsi="Times New Roman"/>
                <w:bCs/>
                <w:color w:val="000000" w:themeColor="text1"/>
                <w:sz w:val="24"/>
              </w:rPr>
              <w:t>（</w:t>
            </w:r>
            <w:r>
              <w:rPr>
                <w:rFonts w:ascii="Times New Roman" w:hAnsi="Times New Roman"/>
                <w:bCs/>
                <w:color w:val="000000" w:themeColor="text1"/>
                <w:sz w:val="24"/>
              </w:rPr>
              <w:t>17</w:t>
            </w:r>
            <w:r>
              <w:rPr>
                <w:rFonts w:hint="eastAsia" w:ascii="Times New Roman" w:hAnsi="Times New Roman"/>
                <w:bCs/>
                <w:color w:val="000000" w:themeColor="text1"/>
                <w:sz w:val="24"/>
              </w:rPr>
              <w:t>）</w:t>
            </w:r>
            <w:r>
              <w:rPr>
                <w:rFonts w:hint="eastAsia" w:ascii="Times New Roman" w:hAnsi="Times New Roman"/>
                <w:bCs/>
                <w:color w:val="FF0000"/>
                <w:sz w:val="24"/>
              </w:rPr>
              <w:t>杭州市余杭区教育资产营运管理中心提供的相关资料</w:t>
            </w:r>
            <w:r>
              <w:rPr>
                <w:rFonts w:hint="eastAsia" w:ascii="Times New Roman" w:hAnsi="Times New Roman"/>
                <w:bCs/>
                <w:color w:val="000000" w:themeColor="text1"/>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tcBorders>
              <w:top w:val="single" w:color="auto" w:sz="4" w:space="0"/>
              <w:left w:val="single" w:color="auto" w:sz="8"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验收监测评价标准、标号、级别、限值</w:t>
            </w:r>
          </w:p>
        </w:tc>
        <w:tc>
          <w:tcPr>
            <w:tcW w:w="6956" w:type="dxa"/>
            <w:gridSpan w:val="5"/>
            <w:tcBorders>
              <w:top w:val="single" w:color="auto" w:sz="4" w:space="0"/>
              <w:left w:val="single" w:color="auto" w:sz="4" w:space="0"/>
              <w:bottom w:val="single" w:color="auto" w:sz="4" w:space="0"/>
              <w:right w:val="single" w:color="auto" w:sz="8" w:space="0"/>
            </w:tcBorders>
            <w:vAlign w:val="center"/>
          </w:tcPr>
          <w:p>
            <w:pPr>
              <w:tabs>
                <w:tab w:val="left" w:pos="567"/>
              </w:tabs>
              <w:spacing w:line="360" w:lineRule="auto"/>
              <w:ind w:firstLine="480" w:firstLineChars="200"/>
              <w:rPr>
                <w:rFonts w:ascii="Times New Roman" w:hAnsi="Times New Roman" w:cs="Arial"/>
                <w:color w:val="000000" w:themeColor="text1"/>
                <w:sz w:val="24"/>
              </w:rPr>
            </w:pPr>
            <w:r>
              <w:rPr>
                <w:rFonts w:ascii="Times New Roman" w:hAnsi="Times New Roman" w:cs="Arial"/>
                <w:color w:val="000000" w:themeColor="text1"/>
                <w:sz w:val="24"/>
              </w:rPr>
              <w:t>1</w:t>
            </w:r>
            <w:r>
              <w:rPr>
                <w:rFonts w:hint="eastAsia" w:ascii="Times New Roman" w:hAnsi="Times New Roman" w:cs="Arial"/>
                <w:color w:val="000000" w:themeColor="text1"/>
                <w:sz w:val="24"/>
              </w:rPr>
              <w:t>、废水</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本项目建成后废水主要为生活污水、实验室废水、食堂厨房含油废水、游泳池废水。项目食堂厨房含油废水经隔油除渣等预处理、冲厕废水经化粪池预处理、实验室废水经中和池处理后纳入城市污水管网；游泳池废水平均每个月排放一次，废水需先经过滤除去毛发等杂质，再沉淀去除SS后，与经化粪池预处理后的其它生活污水一道接入污水管网，废水纳管执行《污水综合排放标准》（</w:t>
            </w:r>
            <w:r>
              <w:rPr>
                <w:rFonts w:ascii="Times New Roman" w:hAnsi="Times New Roman" w:cs="Arial"/>
                <w:color w:val="000000" w:themeColor="text1"/>
                <w:sz w:val="24"/>
              </w:rPr>
              <w:t>GB 8978-1996</w:t>
            </w:r>
            <w:r>
              <w:rPr>
                <w:rFonts w:hint="eastAsia" w:ascii="Times New Roman" w:hAnsi="Times New Roman" w:cs="Arial"/>
                <w:color w:val="000000" w:themeColor="text1"/>
                <w:sz w:val="24"/>
              </w:rPr>
              <w:t>）三级标准，其中氨氮、总磷执行《污水排入城镇下水道水质标准》（</w:t>
            </w:r>
            <w:r>
              <w:rPr>
                <w:rFonts w:ascii="Times New Roman" w:hAnsi="Times New Roman" w:cs="Arial"/>
                <w:color w:val="000000" w:themeColor="text1"/>
                <w:sz w:val="24"/>
              </w:rPr>
              <w:t>GB/T31962-2015</w:t>
            </w:r>
            <w:r>
              <w:rPr>
                <w:rFonts w:hint="eastAsia" w:ascii="Times New Roman" w:hAnsi="Times New Roman" w:cs="Arial"/>
                <w:color w:val="000000" w:themeColor="text1"/>
                <w:sz w:val="24"/>
              </w:rPr>
              <w:t>）。</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项目最终排入临平净水厂，尾水排放执行《城镇污水处理厂污染物排放标准》（</w:t>
            </w:r>
            <w:r>
              <w:rPr>
                <w:rFonts w:ascii="Times New Roman" w:hAnsi="Times New Roman" w:cs="Arial"/>
                <w:color w:val="000000" w:themeColor="text1"/>
                <w:sz w:val="24"/>
              </w:rPr>
              <w:t>GB18918-2002</w:t>
            </w:r>
            <w:r>
              <w:rPr>
                <w:rFonts w:hint="eastAsia" w:ascii="Times New Roman" w:hAnsi="Times New Roman" w:cs="Arial"/>
                <w:color w:val="000000" w:themeColor="text1"/>
                <w:sz w:val="24"/>
              </w:rPr>
              <w:t>）中的一级</w:t>
            </w:r>
            <w:r>
              <w:rPr>
                <w:rFonts w:ascii="Times New Roman" w:hAnsi="Times New Roman" w:cs="Arial"/>
                <w:color w:val="000000" w:themeColor="text1"/>
                <w:sz w:val="24"/>
              </w:rPr>
              <w:t>A</w:t>
            </w:r>
            <w:r>
              <w:rPr>
                <w:rFonts w:hint="eastAsia" w:ascii="Times New Roman" w:hAnsi="Times New Roman" w:cs="Arial"/>
                <w:color w:val="000000" w:themeColor="text1"/>
                <w:sz w:val="24"/>
              </w:rPr>
              <w:t>标准（其中</w:t>
            </w:r>
            <w:r>
              <w:rPr>
                <w:rFonts w:ascii="Times New Roman" w:hAnsi="Times New Roman" w:cs="Arial"/>
                <w:color w:val="000000" w:themeColor="text1"/>
                <w:sz w:val="24"/>
              </w:rPr>
              <w:t>COD</w:t>
            </w:r>
            <w:r>
              <w:rPr>
                <w:rFonts w:ascii="Times New Roman" w:hAnsi="Times New Roman" w:cs="Arial"/>
                <w:color w:val="000000" w:themeColor="text1"/>
                <w:sz w:val="24"/>
                <w:vertAlign w:val="subscript"/>
              </w:rPr>
              <w:t>Cr</w:t>
            </w:r>
            <w:r>
              <w:rPr>
                <w:rFonts w:hint="eastAsia" w:ascii="Times New Roman" w:hAnsi="Times New Roman" w:cs="Arial"/>
                <w:color w:val="000000" w:themeColor="text1"/>
                <w:sz w:val="24"/>
              </w:rPr>
              <w:t>、</w:t>
            </w:r>
            <w:r>
              <w:rPr>
                <w:rFonts w:ascii="Times New Roman" w:hAnsi="Times New Roman" w:cs="Arial"/>
                <w:color w:val="000000" w:themeColor="text1"/>
                <w:sz w:val="24"/>
              </w:rPr>
              <w:t>NH</w:t>
            </w:r>
            <w:r>
              <w:rPr>
                <w:rFonts w:ascii="Times New Roman" w:hAnsi="Times New Roman" w:cs="Arial"/>
                <w:color w:val="000000" w:themeColor="text1"/>
                <w:sz w:val="24"/>
                <w:vertAlign w:val="subscript"/>
              </w:rPr>
              <w:t>3</w:t>
            </w:r>
            <w:r>
              <w:rPr>
                <w:rFonts w:ascii="Times New Roman" w:hAnsi="Times New Roman" w:cs="Arial"/>
                <w:color w:val="000000" w:themeColor="text1"/>
                <w:sz w:val="24"/>
              </w:rPr>
              <w:t>-N</w:t>
            </w:r>
            <w:r>
              <w:rPr>
                <w:rFonts w:hint="eastAsia" w:ascii="Times New Roman" w:hAnsi="Times New Roman" w:cs="Arial"/>
                <w:color w:val="000000" w:themeColor="text1"/>
                <w:sz w:val="24"/>
              </w:rPr>
              <w:t>、总氮、总磷排放标准执行《城镇污水处理厂主要水污染物排放标准》（</w:t>
            </w:r>
            <w:r>
              <w:rPr>
                <w:rFonts w:ascii="Times New Roman" w:hAnsi="Times New Roman" w:cs="Arial"/>
                <w:color w:val="000000" w:themeColor="text1"/>
                <w:sz w:val="24"/>
              </w:rPr>
              <w:t>DB33/2169-2018</w:t>
            </w:r>
            <w:r>
              <w:rPr>
                <w:rFonts w:hint="eastAsia" w:ascii="Times New Roman" w:hAnsi="Times New Roman" w:cs="Arial"/>
                <w:color w:val="000000" w:themeColor="text1"/>
                <w:sz w:val="24"/>
              </w:rPr>
              <w:t>）中表</w:t>
            </w:r>
            <w:r>
              <w:rPr>
                <w:rFonts w:ascii="Times New Roman" w:hAnsi="Times New Roman" w:cs="Arial"/>
                <w:color w:val="000000" w:themeColor="text1"/>
                <w:sz w:val="24"/>
              </w:rPr>
              <w:t>1</w:t>
            </w:r>
            <w:r>
              <w:rPr>
                <w:rFonts w:hint="eastAsia" w:ascii="Times New Roman" w:hAnsi="Times New Roman" w:cs="Arial"/>
                <w:color w:val="000000" w:themeColor="text1"/>
                <w:sz w:val="24"/>
              </w:rPr>
              <w:t>现有城镇污水处理厂主要污染物排放限值）。具体限值见表</w:t>
            </w:r>
            <w:r>
              <w:rPr>
                <w:rFonts w:ascii="Times New Roman" w:hAnsi="Times New Roman" w:cs="Arial"/>
                <w:color w:val="000000" w:themeColor="text1"/>
                <w:sz w:val="24"/>
              </w:rPr>
              <w:t>1-1</w:t>
            </w:r>
            <w:r>
              <w:rPr>
                <w:rFonts w:hint="eastAsia" w:ascii="Times New Roman" w:hAnsi="Times New Roman" w:cs="Arial"/>
                <w:color w:val="000000" w:themeColor="text1"/>
                <w:sz w:val="24"/>
              </w:rPr>
              <w:t>~1-2。</w:t>
            </w:r>
          </w:p>
          <w:p>
            <w:pPr>
              <w:tabs>
                <w:tab w:val="left" w:pos="567"/>
              </w:tabs>
              <w:jc w:val="center"/>
              <w:rPr>
                <w:rFonts w:ascii="Times New Roman" w:hAnsi="Times New Roman" w:cs="Arial"/>
                <w:b/>
                <w:color w:val="000000" w:themeColor="text1"/>
                <w:szCs w:val="21"/>
              </w:rPr>
            </w:pPr>
            <w:r>
              <w:rPr>
                <w:rFonts w:hint="eastAsia" w:ascii="Times New Roman" w:hAnsi="Times New Roman" w:cs="Arial"/>
                <w:b/>
                <w:color w:val="000000" w:themeColor="text1"/>
                <w:szCs w:val="21"/>
              </w:rPr>
              <w:t>表</w:t>
            </w:r>
            <w:r>
              <w:rPr>
                <w:rFonts w:ascii="Times New Roman" w:hAnsi="Times New Roman" w:cs="Arial"/>
                <w:b/>
                <w:color w:val="000000" w:themeColor="text1"/>
                <w:szCs w:val="21"/>
              </w:rPr>
              <w:t xml:space="preserve">1-1 </w:t>
            </w:r>
            <w:r>
              <w:rPr>
                <w:rFonts w:hint="eastAsia" w:ascii="Times New Roman" w:hAnsi="Times New Roman" w:cs="Arial"/>
                <w:b/>
                <w:color w:val="000000" w:themeColor="text1"/>
                <w:szCs w:val="21"/>
              </w:rPr>
              <w:t>《污水综合排放标准》单位：</w:t>
            </w:r>
            <w:r>
              <w:rPr>
                <w:rFonts w:ascii="Times New Roman" w:hAnsi="Times New Roman" w:cs="Arial"/>
                <w:b/>
                <w:color w:val="000000" w:themeColor="text1"/>
                <w:szCs w:val="21"/>
              </w:rPr>
              <w:t>mg/L</w:t>
            </w:r>
            <w:r>
              <w:rPr>
                <w:rFonts w:hint="eastAsia" w:ascii="Times New Roman" w:hAnsi="Times New Roman" w:cs="Arial"/>
                <w:b/>
                <w:color w:val="000000" w:themeColor="text1"/>
                <w:szCs w:val="21"/>
              </w:rPr>
              <w:t>，除</w:t>
            </w:r>
            <w:r>
              <w:rPr>
                <w:rFonts w:ascii="Times New Roman" w:hAnsi="Times New Roman" w:cs="Arial"/>
                <w:b/>
                <w:color w:val="000000" w:themeColor="text1"/>
                <w:szCs w:val="21"/>
              </w:rPr>
              <w:t>pH</w:t>
            </w:r>
          </w:p>
          <w:tbl>
            <w:tblPr>
              <w:tblStyle w:val="33"/>
              <w:tblW w:w="6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562"/>
              <w:gridCol w:w="979"/>
              <w:gridCol w:w="705"/>
              <w:gridCol w:w="561"/>
              <w:gridCol w:w="841"/>
              <w:gridCol w:w="700"/>
              <w:gridCol w:w="817"/>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污染物</w:t>
                  </w:r>
                </w:p>
              </w:tc>
              <w:tc>
                <w:tcPr>
                  <w:tcW w:w="5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pH</w:t>
                  </w:r>
                </w:p>
              </w:tc>
              <w:tc>
                <w:tcPr>
                  <w:tcW w:w="9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CODcr</w:t>
                  </w: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BOD</w:t>
                  </w:r>
                  <w:r>
                    <w:rPr>
                      <w:rFonts w:ascii="Times New Roman" w:hAnsi="Times New Roman"/>
                      <w:color w:val="000000" w:themeColor="text1"/>
                      <w:szCs w:val="21"/>
                      <w:vertAlign w:val="subscript"/>
                    </w:rPr>
                    <w:t>5</w:t>
                  </w:r>
                </w:p>
              </w:tc>
              <w:tc>
                <w:tcPr>
                  <w:tcW w:w="5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SS</w:t>
                  </w:r>
                </w:p>
              </w:tc>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NH</w:t>
                  </w:r>
                  <w:r>
                    <w:rPr>
                      <w:rFonts w:ascii="Times New Roman" w:hAnsi="Times New Roman"/>
                      <w:color w:val="000000" w:themeColor="text1"/>
                      <w:szCs w:val="21"/>
                      <w:vertAlign w:val="subscript"/>
                    </w:rPr>
                    <w:t>3</w:t>
                  </w:r>
                  <w:r>
                    <w:rPr>
                      <w:rFonts w:ascii="Times New Roman" w:hAnsi="Times New Roman"/>
                      <w:color w:val="000000" w:themeColor="text1"/>
                      <w:szCs w:val="21"/>
                    </w:rPr>
                    <w:t>-N</w:t>
                  </w:r>
                </w:p>
              </w:tc>
              <w:tc>
                <w:tcPr>
                  <w:tcW w:w="7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总磷</w:t>
                  </w:r>
                </w:p>
              </w:tc>
              <w:tc>
                <w:tcPr>
                  <w:tcW w:w="8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总氮</w:t>
                  </w:r>
                </w:p>
              </w:tc>
              <w:tc>
                <w:tcPr>
                  <w:tcW w:w="8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三级标准</w:t>
                  </w:r>
                </w:p>
              </w:tc>
              <w:tc>
                <w:tcPr>
                  <w:tcW w:w="5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6~9</w:t>
                  </w:r>
                </w:p>
              </w:tc>
              <w:tc>
                <w:tcPr>
                  <w:tcW w:w="9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500</w:t>
                  </w:r>
                </w:p>
              </w:tc>
              <w:tc>
                <w:tcPr>
                  <w:tcW w:w="7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300</w:t>
                  </w:r>
                </w:p>
              </w:tc>
              <w:tc>
                <w:tcPr>
                  <w:tcW w:w="5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400</w:t>
                  </w:r>
                </w:p>
              </w:tc>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45*</w:t>
                  </w:r>
                </w:p>
              </w:tc>
              <w:tc>
                <w:tcPr>
                  <w:tcW w:w="7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8*</w:t>
                  </w:r>
                </w:p>
              </w:tc>
              <w:tc>
                <w:tcPr>
                  <w:tcW w:w="8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70*</w:t>
                  </w:r>
                </w:p>
              </w:tc>
              <w:tc>
                <w:tcPr>
                  <w:tcW w:w="8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849"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Arial"/>
                      <w:szCs w:val="21"/>
                    </w:rPr>
                    <w:t>注：氨氮、总磷参照执行《污水排入城镇下水道水质标准》（</w:t>
                  </w:r>
                  <w:r>
                    <w:rPr>
                      <w:rFonts w:ascii="Times New Roman" w:hAnsi="Times New Roman"/>
                      <w:szCs w:val="21"/>
                    </w:rPr>
                    <w:t>GB/T31962-2015</w:t>
                  </w:r>
                  <w:r>
                    <w:rPr>
                      <w:rFonts w:ascii="Times New Roman" w:hAnsi="Arial"/>
                      <w:szCs w:val="21"/>
                    </w:rPr>
                    <w:t>）</w:t>
                  </w:r>
                </w:p>
              </w:tc>
            </w:tr>
          </w:tbl>
          <w:p>
            <w:pPr>
              <w:tabs>
                <w:tab w:val="left" w:pos="567"/>
              </w:tabs>
              <w:jc w:val="center"/>
              <w:rPr>
                <w:rFonts w:ascii="Times New Roman" w:hAnsi="Times New Roman" w:eastAsiaTheme="majorEastAsia"/>
                <w:b/>
                <w:color w:val="000000" w:themeColor="text1"/>
                <w:szCs w:val="21"/>
              </w:rPr>
            </w:pPr>
            <w:r>
              <w:rPr>
                <w:rFonts w:hint="eastAsia" w:ascii="Times New Roman" w:hAnsiTheme="majorEastAsia" w:eastAsiaTheme="majorEastAsia"/>
                <w:b/>
                <w:color w:val="000000" w:themeColor="text1"/>
                <w:szCs w:val="21"/>
              </w:rPr>
              <w:t>表</w:t>
            </w:r>
            <w:r>
              <w:rPr>
                <w:rFonts w:ascii="Times New Roman" w:hAnsi="Times New Roman" w:eastAsiaTheme="majorEastAsia"/>
                <w:b/>
                <w:color w:val="000000" w:themeColor="text1"/>
                <w:szCs w:val="21"/>
              </w:rPr>
              <w:t>1-2</w:t>
            </w:r>
            <w:r>
              <w:rPr>
                <w:rFonts w:hint="eastAsia" w:ascii="Times New Roman" w:hAnsiTheme="majorEastAsia" w:eastAsiaTheme="majorEastAsia"/>
                <w:b/>
                <w:color w:val="000000" w:themeColor="text1"/>
                <w:szCs w:val="21"/>
              </w:rPr>
              <w:t>污水处理厂出水标准</w:t>
            </w:r>
            <w:r>
              <w:rPr>
                <w:rFonts w:ascii="Times New Roman" w:hAnsiTheme="majorEastAsia" w:eastAsiaTheme="majorEastAsia"/>
                <w:b/>
                <w:color w:val="000000" w:themeColor="text1"/>
                <w:szCs w:val="21"/>
              </w:rPr>
              <w:t xml:space="preserve"> </w:t>
            </w:r>
            <w:r>
              <w:rPr>
                <w:rFonts w:hint="eastAsia" w:ascii="Times New Roman" w:hAnsiTheme="majorEastAsia" w:eastAsiaTheme="majorEastAsia"/>
                <w:b/>
                <w:color w:val="000000" w:themeColor="text1"/>
                <w:szCs w:val="21"/>
              </w:rPr>
              <w:t>单位：</w:t>
            </w:r>
            <w:r>
              <w:rPr>
                <w:rFonts w:ascii="Times New Roman" w:hAnsi="Times New Roman" w:eastAsiaTheme="majorEastAsia"/>
                <w:b/>
                <w:color w:val="000000" w:themeColor="text1"/>
                <w:szCs w:val="21"/>
              </w:rPr>
              <w:t>mg/L</w:t>
            </w:r>
            <w:r>
              <w:rPr>
                <w:rFonts w:hint="eastAsia" w:ascii="Times New Roman" w:hAnsiTheme="majorEastAsia" w:eastAsiaTheme="majorEastAsia"/>
                <w:b/>
                <w:color w:val="000000" w:themeColor="text1"/>
                <w:szCs w:val="21"/>
              </w:rPr>
              <w:t>，除</w:t>
            </w:r>
            <w:r>
              <w:rPr>
                <w:rFonts w:ascii="Times New Roman" w:hAnsi="Times New Roman" w:eastAsiaTheme="majorEastAsia"/>
                <w:b/>
                <w:color w:val="000000" w:themeColor="text1"/>
                <w:szCs w:val="21"/>
              </w:rPr>
              <w:t>pH</w:t>
            </w:r>
          </w:p>
          <w:tbl>
            <w:tblPr>
              <w:tblStyle w:val="33"/>
              <w:tblW w:w="6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582"/>
              <w:gridCol w:w="725"/>
              <w:gridCol w:w="582"/>
              <w:gridCol w:w="528"/>
              <w:gridCol w:w="708"/>
              <w:gridCol w:w="714"/>
              <w:gridCol w:w="558"/>
              <w:gridCol w:w="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jc w:val="center"/>
              </w:trPr>
              <w:tc>
                <w:tcPr>
                  <w:tcW w:w="128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指标</w:t>
                  </w:r>
                </w:p>
              </w:tc>
              <w:tc>
                <w:tcPr>
                  <w:tcW w:w="4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pH</w:t>
                  </w:r>
                </w:p>
              </w:tc>
              <w:tc>
                <w:tcPr>
                  <w:tcW w:w="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COD</w:t>
                  </w:r>
                </w:p>
              </w:tc>
              <w:tc>
                <w:tcPr>
                  <w:tcW w:w="4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BOD</w:t>
                  </w:r>
                  <w:r>
                    <w:rPr>
                      <w:rFonts w:ascii="Times New Roman" w:hAnsi="Times New Roman"/>
                      <w:color w:val="000000" w:themeColor="text1"/>
                      <w:szCs w:val="21"/>
                      <w:vertAlign w:val="subscript"/>
                    </w:rPr>
                    <w:t>5</w:t>
                  </w:r>
                </w:p>
              </w:tc>
              <w:tc>
                <w:tcPr>
                  <w:tcW w:w="3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SS</w:t>
                  </w:r>
                </w:p>
              </w:tc>
              <w:tc>
                <w:tcPr>
                  <w:tcW w:w="5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氨氮</w:t>
                  </w:r>
                </w:p>
              </w:tc>
              <w:tc>
                <w:tcPr>
                  <w:tcW w:w="53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总磷</w:t>
                  </w:r>
                </w:p>
              </w:tc>
              <w:tc>
                <w:tcPr>
                  <w:tcW w:w="4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总氮</w:t>
                  </w:r>
                </w:p>
              </w:tc>
              <w:tc>
                <w:tcPr>
                  <w:tcW w:w="4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128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《城镇污水处理厂污染物排放标准》（</w:t>
                  </w:r>
                  <w:r>
                    <w:rPr>
                      <w:rFonts w:ascii="Times New Roman" w:hAnsi="Times New Roman"/>
                      <w:color w:val="000000" w:themeColor="text1"/>
                      <w:szCs w:val="21"/>
                    </w:rPr>
                    <w:t>GB18918-2002</w:t>
                  </w:r>
                  <w:r>
                    <w:rPr>
                      <w:rFonts w:hint="eastAsia" w:ascii="Times New Roman" w:hAnsi="Times New Roman"/>
                      <w:color w:val="000000" w:themeColor="text1"/>
                      <w:szCs w:val="21"/>
                    </w:rPr>
                    <w:t>）一级</w:t>
                  </w:r>
                  <w:r>
                    <w:rPr>
                      <w:rFonts w:ascii="Times New Roman" w:hAnsi="Times New Roman"/>
                      <w:color w:val="000000" w:themeColor="text1"/>
                      <w:szCs w:val="21"/>
                    </w:rPr>
                    <w:t>A</w:t>
                  </w:r>
                  <w:r>
                    <w:rPr>
                      <w:rFonts w:hint="eastAsia" w:ascii="Times New Roman" w:hAnsi="Times New Roman"/>
                      <w:color w:val="000000" w:themeColor="text1"/>
                      <w:szCs w:val="21"/>
                    </w:rPr>
                    <w:t>标准</w:t>
                  </w:r>
                </w:p>
              </w:tc>
              <w:tc>
                <w:tcPr>
                  <w:tcW w:w="43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szCs w:val="21"/>
                    </w:rPr>
                  </w:pPr>
                  <w:r>
                    <w:rPr>
                      <w:rFonts w:ascii="Times New Roman" w:hAnsi="Times New Roman"/>
                      <w:color w:val="000000" w:themeColor="text1"/>
                      <w:szCs w:val="21"/>
                    </w:rPr>
                    <w:t>6~9</w:t>
                  </w:r>
                </w:p>
              </w:tc>
              <w:tc>
                <w:tcPr>
                  <w:tcW w:w="54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themeColor="text1"/>
                      <w:szCs w:val="21"/>
                    </w:rPr>
                  </w:pPr>
                  <w:r>
                    <w:rPr>
                      <w:rFonts w:hint="eastAsia" w:ascii="Times New Roman" w:hAnsi="Times New Roman"/>
                      <w:color w:val="000000" w:themeColor="text1"/>
                      <w:szCs w:val="21"/>
                    </w:rPr>
                    <w:t>--</w:t>
                  </w:r>
                </w:p>
              </w:tc>
              <w:tc>
                <w:tcPr>
                  <w:tcW w:w="43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10</w:t>
                  </w:r>
                </w:p>
              </w:tc>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10</w:t>
                  </w:r>
                </w:p>
              </w:tc>
              <w:tc>
                <w:tcPr>
                  <w:tcW w:w="53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53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41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41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128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color w:val="000000"/>
                      <w:szCs w:val="21"/>
                    </w:rPr>
                    <w:t>《城镇污水处理厂主要水污染物排放标准》（</w:t>
                  </w:r>
                  <w:r>
                    <w:rPr>
                      <w:color w:val="000000"/>
                      <w:szCs w:val="21"/>
                    </w:rPr>
                    <w:t>DB33/2169-2018</w:t>
                  </w:r>
                  <w:r>
                    <w:rPr>
                      <w:rFonts w:hint="eastAsia"/>
                      <w:color w:val="000000"/>
                      <w:szCs w:val="21"/>
                    </w:rPr>
                    <w:t>）中表</w:t>
                  </w:r>
                  <w:r>
                    <w:rPr>
                      <w:color w:val="000000"/>
                      <w:szCs w:val="21"/>
                    </w:rPr>
                    <w:t>1</w:t>
                  </w:r>
                  <w:r>
                    <w:rPr>
                      <w:rFonts w:hint="eastAsia"/>
                      <w:color w:val="000000"/>
                      <w:szCs w:val="21"/>
                    </w:rPr>
                    <w:t>标准</w:t>
                  </w:r>
                </w:p>
              </w:tc>
              <w:tc>
                <w:tcPr>
                  <w:tcW w:w="43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54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40</w:t>
                  </w:r>
                </w:p>
              </w:tc>
              <w:tc>
                <w:tcPr>
                  <w:tcW w:w="43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c>
                <w:tcPr>
                  <w:tcW w:w="53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2（4）</w:t>
                  </w:r>
                  <w:r>
                    <w:rPr>
                      <w:rFonts w:hint="eastAsia"/>
                      <w:color w:val="000000"/>
                      <w:szCs w:val="21"/>
                      <w:vertAlign w:val="superscript"/>
                    </w:rPr>
                    <w:t>①</w:t>
                  </w:r>
                </w:p>
              </w:tc>
              <w:tc>
                <w:tcPr>
                  <w:tcW w:w="53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0.3</w:t>
                  </w:r>
                </w:p>
              </w:tc>
              <w:tc>
                <w:tcPr>
                  <w:tcW w:w="41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12（15）</w:t>
                  </w:r>
                </w:p>
              </w:tc>
              <w:tc>
                <w:tcPr>
                  <w:tcW w:w="41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blHeader/>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color w:val="000000"/>
                      <w:szCs w:val="21"/>
                    </w:rPr>
                    <w:t>注①：括号内数值为每年</w:t>
                  </w:r>
                  <w:r>
                    <w:rPr>
                      <w:color w:val="000000"/>
                      <w:szCs w:val="21"/>
                    </w:rPr>
                    <w:t>11</w:t>
                  </w:r>
                  <w:r>
                    <w:rPr>
                      <w:rFonts w:hint="eastAsia"/>
                      <w:color w:val="000000"/>
                      <w:szCs w:val="21"/>
                    </w:rPr>
                    <w:t>月</w:t>
                  </w:r>
                  <w:r>
                    <w:rPr>
                      <w:color w:val="000000"/>
                      <w:szCs w:val="21"/>
                    </w:rPr>
                    <w:t>1</w:t>
                  </w:r>
                  <w:r>
                    <w:rPr>
                      <w:rFonts w:hint="eastAsia"/>
                      <w:color w:val="000000"/>
                      <w:szCs w:val="21"/>
                    </w:rPr>
                    <w:t>日至次年</w:t>
                  </w:r>
                  <w:r>
                    <w:rPr>
                      <w:color w:val="000000"/>
                      <w:szCs w:val="21"/>
                    </w:rPr>
                    <w:t>3</w:t>
                  </w:r>
                  <w:r>
                    <w:rPr>
                      <w:rFonts w:hint="eastAsia"/>
                      <w:color w:val="000000"/>
                      <w:szCs w:val="21"/>
                    </w:rPr>
                    <w:t>月</w:t>
                  </w:r>
                  <w:r>
                    <w:rPr>
                      <w:color w:val="000000"/>
                      <w:szCs w:val="21"/>
                    </w:rPr>
                    <w:t>31</w:t>
                  </w:r>
                  <w:r>
                    <w:rPr>
                      <w:rFonts w:hint="eastAsia"/>
                      <w:color w:val="000000"/>
                      <w:szCs w:val="21"/>
                    </w:rPr>
                    <w:t>日执行</w:t>
                  </w:r>
                </w:p>
              </w:tc>
            </w:tr>
          </w:tbl>
          <w:p>
            <w:pPr>
              <w:tabs>
                <w:tab w:val="left" w:pos="567"/>
              </w:tabs>
              <w:spacing w:line="360" w:lineRule="auto"/>
              <w:ind w:firstLine="480" w:firstLineChars="200"/>
              <w:rPr>
                <w:rFonts w:ascii="Times New Roman" w:hAnsi="Times New Roman" w:cs="Arial"/>
                <w:color w:val="000000" w:themeColor="text1"/>
                <w:sz w:val="24"/>
              </w:rPr>
            </w:pPr>
            <w:r>
              <w:rPr>
                <w:rFonts w:ascii="Times New Roman" w:hAnsi="Times New Roman" w:cs="Arial"/>
                <w:color w:val="000000" w:themeColor="text1"/>
                <w:sz w:val="24"/>
              </w:rPr>
              <w:t xml:space="preserve"> 2</w:t>
            </w:r>
            <w:r>
              <w:rPr>
                <w:rFonts w:hint="eastAsia" w:ascii="Times New Roman" w:hAnsi="Times New Roman" w:cs="Arial"/>
                <w:color w:val="000000" w:themeColor="text1"/>
                <w:sz w:val="24"/>
              </w:rPr>
              <w:t>、废气</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本项目建成后排放的废气主要为地下车库尾气、食堂油烟废气、垃圾收集房废气及燃气锅炉废气。</w:t>
            </w:r>
          </w:p>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w:t>
            </w:r>
            <w:r>
              <w:rPr>
                <w:rFonts w:ascii="Times New Roman" w:hAnsi="Times New Roman" w:cs="Arial"/>
                <w:color w:val="000000" w:themeColor="text1"/>
                <w:sz w:val="24"/>
              </w:rPr>
              <w:t>1</w:t>
            </w:r>
            <w:r>
              <w:rPr>
                <w:rFonts w:hint="eastAsia" w:ascii="Times New Roman" w:hAnsi="Times New Roman" w:cs="Arial"/>
                <w:color w:val="000000" w:themeColor="text1"/>
                <w:sz w:val="24"/>
              </w:rPr>
              <w:t>）车库汽车尾气排放执行《大气污染物综合排放标准》（</w:t>
            </w:r>
            <w:r>
              <w:rPr>
                <w:rFonts w:ascii="Times New Roman" w:hAnsi="Times New Roman" w:cs="Arial"/>
                <w:color w:val="000000" w:themeColor="text1"/>
                <w:sz w:val="24"/>
              </w:rPr>
              <w:t>GB16297-1996</w:t>
            </w:r>
            <w:r>
              <w:rPr>
                <w:rFonts w:hint="eastAsia" w:ascii="Times New Roman" w:hAnsi="Times New Roman" w:cs="Arial"/>
                <w:color w:val="000000" w:themeColor="text1"/>
                <w:sz w:val="24"/>
              </w:rPr>
              <w:t>）中新污染源二级标准，具体标准限值见表</w:t>
            </w:r>
            <w:r>
              <w:rPr>
                <w:rFonts w:ascii="Times New Roman" w:hAnsi="Times New Roman" w:cs="Arial"/>
                <w:color w:val="000000" w:themeColor="text1"/>
                <w:sz w:val="24"/>
              </w:rPr>
              <w:t>1-</w:t>
            </w:r>
            <w:r>
              <w:rPr>
                <w:rFonts w:hint="eastAsia" w:ascii="Times New Roman" w:hAnsi="Times New Roman" w:cs="Arial"/>
                <w:color w:val="000000" w:themeColor="text1"/>
                <w:sz w:val="24"/>
              </w:rPr>
              <w:t>3。</w:t>
            </w:r>
          </w:p>
          <w:p>
            <w:pPr>
              <w:tabs>
                <w:tab w:val="left" w:pos="567"/>
              </w:tabs>
              <w:spacing w:line="360" w:lineRule="auto"/>
              <w:jc w:val="center"/>
              <w:rPr>
                <w:rFonts w:ascii="Times New Roman" w:hAnsi="Times New Roman"/>
                <w:b/>
                <w:color w:val="000000" w:themeColor="text1"/>
                <w:szCs w:val="28"/>
              </w:rPr>
            </w:pPr>
            <w:r>
              <w:rPr>
                <w:rFonts w:ascii="Times New Roman" w:hAnsi="Times New Roman"/>
                <w:b/>
                <w:color w:val="000000" w:themeColor="text1"/>
                <w:szCs w:val="28"/>
              </w:rPr>
              <w:t>表1-</w:t>
            </w:r>
            <w:r>
              <w:rPr>
                <w:rFonts w:hint="eastAsia" w:ascii="Times New Roman" w:hAnsi="Times New Roman"/>
                <w:b/>
                <w:color w:val="000000" w:themeColor="text1"/>
                <w:szCs w:val="28"/>
              </w:rPr>
              <w:t xml:space="preserve">3 </w:t>
            </w:r>
            <w:r>
              <w:rPr>
                <w:rFonts w:ascii="Times New Roman" w:hAnsi="Times New Roman"/>
                <w:b/>
                <w:color w:val="000000" w:themeColor="text1"/>
                <w:szCs w:val="28"/>
              </w:rPr>
              <w:t>《大气污染物综合排放标准》（GB-16297-1996）</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303"/>
              <w:gridCol w:w="1279"/>
              <w:gridCol w:w="968"/>
              <w:gridCol w:w="1124"/>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污染物</w:t>
                  </w:r>
                </w:p>
              </w:tc>
              <w:tc>
                <w:tcPr>
                  <w:tcW w:w="968" w:type="pct"/>
                  <w:vMerge w:val="restart"/>
                  <w:tcBorders>
                    <w:top w:val="single" w:color="auto" w:sz="4" w:space="0"/>
                    <w:left w:val="single" w:color="auto" w:sz="4" w:space="0"/>
                    <w:bottom w:val="single" w:color="auto" w:sz="4" w:space="0"/>
                    <w:right w:val="single" w:color="auto" w:sz="4" w:space="0"/>
                  </w:tcBorders>
                  <w:vAlign w:val="center"/>
                </w:tcPr>
                <w:p>
                  <w:pPr>
                    <w:pStyle w:val="9"/>
                  </w:pPr>
                  <w:r>
                    <w:t>最高允许排放浓度(mg/Nm</w:t>
                  </w:r>
                  <w:r>
                    <w:rPr>
                      <w:vertAlign w:val="superscript"/>
                    </w:rPr>
                    <w:t>3</w:t>
                  </w:r>
                  <w:r>
                    <w:t>)</w:t>
                  </w:r>
                </w:p>
              </w:tc>
              <w:tc>
                <w:tcPr>
                  <w:tcW w:w="1669" w:type="pct"/>
                  <w:gridSpan w:val="2"/>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最高允许排放速率</w:t>
                  </w:r>
                  <w:r>
                    <w:rPr>
                      <w:rFonts w:hAnsi="Times New Roman"/>
                    </w:rPr>
                    <w:t>(kg/h)</w:t>
                  </w:r>
                </w:p>
              </w:tc>
              <w:tc>
                <w:tcPr>
                  <w:tcW w:w="1671" w:type="pct"/>
                  <w:gridSpan w:val="2"/>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无组织织排放监控浓度限值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排气筒(m)</w:t>
                  </w:r>
                </w:p>
              </w:tc>
              <w:tc>
                <w:tcPr>
                  <w:tcW w:w="719"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二级</w:t>
                  </w:r>
                </w:p>
              </w:tc>
              <w:tc>
                <w:tcPr>
                  <w:tcW w:w="835"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监控点</w:t>
                  </w:r>
                </w:p>
              </w:tc>
              <w:tc>
                <w:tcPr>
                  <w:tcW w:w="835" w:type="pct"/>
                  <w:tcBorders>
                    <w:top w:val="single" w:color="auto" w:sz="4" w:space="0"/>
                    <w:left w:val="single" w:color="auto" w:sz="4" w:space="0"/>
                    <w:bottom w:val="single" w:color="auto" w:sz="4" w:space="0"/>
                    <w:right w:val="single" w:color="auto" w:sz="4" w:space="0"/>
                  </w:tcBorders>
                  <w:vAlign w:val="center"/>
                </w:tcPr>
                <w:p>
                  <w:pPr>
                    <w:pStyle w:val="9"/>
                  </w:pPr>
                  <w:r>
                    <w:t>浓度(mg/Nm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氮氧化物</w:t>
                  </w:r>
                </w:p>
              </w:tc>
              <w:tc>
                <w:tcPr>
                  <w:tcW w:w="968" w:type="pct"/>
                  <w:vMerge w:val="restart"/>
                  <w:tcBorders>
                    <w:top w:val="single" w:color="auto" w:sz="4" w:space="0"/>
                    <w:left w:val="single" w:color="auto" w:sz="4" w:space="0"/>
                    <w:bottom w:val="single" w:color="auto" w:sz="4" w:space="0"/>
                    <w:right w:val="single" w:color="auto" w:sz="4" w:space="0"/>
                  </w:tcBorders>
                  <w:vAlign w:val="center"/>
                </w:tcPr>
                <w:p>
                  <w:pPr>
                    <w:pStyle w:val="9"/>
                  </w:pPr>
                  <w:r>
                    <w:t>240</w:t>
                  </w: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14.6</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0.73</w:t>
                  </w:r>
                  <w:r>
                    <w:rPr>
                      <w:rFonts w:hint="eastAsia" w:ascii="宋体" w:hAnsi="宋体" w:eastAsia="宋体" w:cs="宋体"/>
                    </w:rPr>
                    <w:t>①</w:t>
                  </w:r>
                </w:p>
              </w:tc>
              <w:tc>
                <w:tcPr>
                  <w:tcW w:w="835" w:type="pct"/>
                  <w:vMerge w:val="restar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周界外浓度最高点</w:t>
                  </w:r>
                </w:p>
              </w:tc>
              <w:tc>
                <w:tcPr>
                  <w:tcW w:w="835" w:type="pct"/>
                  <w:vMerge w:val="restart"/>
                  <w:tcBorders>
                    <w:top w:val="single" w:color="auto" w:sz="4" w:space="0"/>
                    <w:left w:val="single" w:color="auto" w:sz="4" w:space="0"/>
                    <w:bottom w:val="single" w:color="auto" w:sz="4" w:space="0"/>
                    <w:right w:val="single" w:color="auto" w:sz="4" w:space="0"/>
                  </w:tcBorders>
                  <w:vAlign w:val="center"/>
                </w:tcPr>
                <w:p>
                  <w:pPr>
                    <w:pStyle w:val="9"/>
                  </w:pPr>
                  <w: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15</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0.77</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18.8</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1.17</w:t>
                  </w:r>
                  <w:r>
                    <w:rPr>
                      <w:rFonts w:hint="eastAsia" w:ascii="宋体" w:hAnsi="宋体" w:eastAsia="宋体" w:cs="宋体"/>
                    </w:rPr>
                    <w:t>②</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20</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1.3</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20.7</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1.52</w:t>
                  </w:r>
                  <w:r>
                    <w:rPr>
                      <w:rFonts w:hint="eastAsia" w:ascii="宋体" w:hAnsi="宋体" w:eastAsia="宋体" w:cs="宋体"/>
                    </w:rPr>
                    <w:t>②</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23</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2.23</w:t>
                  </w:r>
                  <w:r>
                    <w:rPr>
                      <w:rFonts w:hint="eastAsia" w:ascii="宋体" w:hAnsi="宋体" w:eastAsia="宋体" w:cs="宋体"/>
                    </w:rPr>
                    <w:t>②</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27.2</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3.53</w:t>
                  </w:r>
                  <w:r>
                    <w:rPr>
                      <w:rFonts w:hint="eastAsia" w:ascii="宋体" w:hAnsi="宋体" w:eastAsia="宋体" w:cs="宋体"/>
                    </w:rPr>
                    <w:t>②</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30</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4.4</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31.4</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4.83</w:t>
                  </w:r>
                  <w:r>
                    <w:rPr>
                      <w:rFonts w:hint="eastAsia" w:ascii="宋体" w:hAnsi="宋体" w:eastAsia="宋体" w:cs="宋体"/>
                    </w:rPr>
                    <w:t>②</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40</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7.5</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op w:val="single" w:color="auto" w:sz="4" w:space="0"/>
                    <w:left w:val="single" w:color="auto" w:sz="4" w:space="0"/>
                    <w:bottom w:val="single" w:color="auto" w:sz="4" w:space="0"/>
                    <w:right w:val="single" w:color="auto" w:sz="4" w:space="0"/>
                  </w:tcBorders>
                  <w:vAlign w:val="center"/>
                </w:tcPr>
                <w:p>
                  <w:pPr>
                    <w:pStyle w:val="9"/>
                    <w:rPr>
                      <w:rFonts w:hAnsi="Times New Roman" w:eastAsia="宋体"/>
                    </w:rPr>
                  </w:pPr>
                  <w:r>
                    <w:t>非甲烷</w:t>
                  </w:r>
                </w:p>
                <w:p>
                  <w:pPr>
                    <w:pStyle w:val="9"/>
                    <w:rPr>
                      <w:rFonts w:hAnsi="Times New Roman"/>
                    </w:rPr>
                  </w:pPr>
                  <w:r>
                    <w:t>总烃</w:t>
                  </w:r>
                </w:p>
              </w:tc>
              <w:tc>
                <w:tcPr>
                  <w:tcW w:w="968" w:type="pct"/>
                  <w:vMerge w:val="restart"/>
                  <w:tcBorders>
                    <w:top w:val="single" w:color="auto" w:sz="4" w:space="0"/>
                    <w:left w:val="single" w:color="auto" w:sz="4" w:space="0"/>
                    <w:bottom w:val="single" w:color="auto" w:sz="4" w:space="0"/>
                    <w:right w:val="single" w:color="auto" w:sz="4" w:space="0"/>
                  </w:tcBorders>
                  <w:vAlign w:val="center"/>
                </w:tcPr>
                <w:p>
                  <w:pPr>
                    <w:pStyle w:val="9"/>
                  </w:pPr>
                  <w:r>
                    <w:t>120</w:t>
                  </w: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14.6</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9.47</w:t>
                  </w:r>
                  <w:r>
                    <w:rPr>
                      <w:rFonts w:hint="eastAsia" w:ascii="宋体" w:hAnsi="宋体" w:eastAsia="宋体" w:cs="宋体"/>
                    </w:rPr>
                    <w:t>①</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835" w:type="pct"/>
                  <w:vMerge w:val="restart"/>
                  <w:tcBorders>
                    <w:top w:val="single" w:color="auto" w:sz="4" w:space="0"/>
                    <w:left w:val="single" w:color="auto" w:sz="4" w:space="0"/>
                    <w:bottom w:val="single" w:color="auto" w:sz="4" w:space="0"/>
                    <w:right w:val="single" w:color="auto" w:sz="4" w:space="0"/>
                  </w:tcBorders>
                  <w:vAlign w:val="center"/>
                </w:tcPr>
                <w:p>
                  <w:pPr>
                    <w:pStyle w:val="9"/>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15</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10</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18.8</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15.32</w:t>
                  </w:r>
                  <w:r>
                    <w:rPr>
                      <w:rFonts w:hint="eastAsia" w:ascii="宋体" w:hAnsi="宋体" w:eastAsia="宋体" w:cs="宋体"/>
                    </w:rPr>
                    <w:t>②</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20</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17</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20.7</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19.52</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23</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27.8</w:t>
                  </w:r>
                  <w:r>
                    <w:rPr>
                      <w:rFonts w:hint="eastAsia" w:ascii="宋体" w:hAnsi="宋体" w:eastAsia="宋体" w:cs="宋体"/>
                    </w:rPr>
                    <w:t>②</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27.2</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42.92</w:t>
                  </w:r>
                  <w:r>
                    <w:rPr>
                      <w:rFonts w:hint="eastAsia" w:ascii="宋体" w:hAnsi="宋体" w:eastAsia="宋体" w:cs="宋体"/>
                    </w:rPr>
                    <w:t>②</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30</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53</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31.4</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59.58</w:t>
                  </w:r>
                  <w:r>
                    <w:rPr>
                      <w:rFonts w:hint="eastAsia" w:ascii="宋体" w:hAnsi="宋体" w:eastAsia="宋体" w:cs="宋体"/>
                    </w:rPr>
                    <w:t>②</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950" w:type="pct"/>
                  <w:tcBorders>
                    <w:top w:val="single" w:color="auto" w:sz="4" w:space="0"/>
                    <w:left w:val="single" w:color="auto" w:sz="4" w:space="0"/>
                    <w:bottom w:val="single" w:color="auto" w:sz="4" w:space="0"/>
                    <w:right w:val="single" w:color="auto" w:sz="4" w:space="0"/>
                  </w:tcBorders>
                  <w:vAlign w:val="center"/>
                </w:tcPr>
                <w:p>
                  <w:pPr>
                    <w:pStyle w:val="9"/>
                  </w:pPr>
                  <w:r>
                    <w:t>40</w:t>
                  </w:r>
                </w:p>
              </w:tc>
              <w:tc>
                <w:tcPr>
                  <w:tcW w:w="719" w:type="pct"/>
                  <w:tcBorders>
                    <w:top w:val="single" w:color="auto" w:sz="4" w:space="0"/>
                    <w:left w:val="single" w:color="auto" w:sz="4" w:space="0"/>
                    <w:bottom w:val="single" w:color="auto" w:sz="4" w:space="0"/>
                    <w:right w:val="single" w:color="auto" w:sz="4" w:space="0"/>
                  </w:tcBorders>
                  <w:vAlign w:val="center"/>
                </w:tcPr>
                <w:p>
                  <w:pPr>
                    <w:pStyle w:val="9"/>
                  </w:pPr>
                  <w:r>
                    <w:t>100</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pStyle w:val="9"/>
                    <w:rPr>
                      <w:rFonts w:hAnsi="Times New Roman" w:eastAsia="宋体"/>
                    </w:rPr>
                  </w:pPr>
                  <w:r>
                    <w:t>注：</w:t>
                  </w:r>
                  <w:r>
                    <w:rPr>
                      <w:rFonts w:hint="eastAsia" w:ascii="宋体" w:hAnsi="宋体" w:eastAsia="宋体" w:cs="宋体"/>
                    </w:rPr>
                    <w:t>①</w:t>
                  </w:r>
                  <w:r>
                    <w:t>根据</w:t>
                  </w:r>
                  <w:r>
                    <w:rPr>
                      <w:rFonts w:hAnsi="Times New Roman"/>
                    </w:rPr>
                    <w:t>GB-16297-1996</w:t>
                  </w:r>
                  <w:r>
                    <w:t>的附录</w:t>
                  </w:r>
                  <w:r>
                    <w:rPr>
                      <w:rFonts w:hAnsi="Times New Roman"/>
                    </w:rPr>
                    <w:t>B</w:t>
                  </w:r>
                  <w:r>
                    <w:t>，采用外推法计算得出；</w:t>
                  </w:r>
                </w:p>
                <w:p>
                  <w:pPr>
                    <w:pStyle w:val="9"/>
                    <w:rPr>
                      <w:rFonts w:hAnsi="Times New Roman"/>
                    </w:rPr>
                  </w:pPr>
                  <w:r>
                    <w:rPr>
                      <w:rFonts w:hint="eastAsia" w:ascii="宋体" w:hAnsi="宋体" w:eastAsia="宋体" w:cs="宋体"/>
                    </w:rPr>
                    <w:t>②</w:t>
                  </w:r>
                  <w:r>
                    <w:t>根据</w:t>
                  </w:r>
                  <w:r>
                    <w:rPr>
                      <w:rFonts w:hAnsi="Times New Roman"/>
                    </w:rPr>
                    <w:t>GB-16297-1996</w:t>
                  </w:r>
                  <w:r>
                    <w:t>的附录</w:t>
                  </w:r>
                  <w:r>
                    <w:rPr>
                      <w:rFonts w:hAnsi="Times New Roman"/>
                    </w:rPr>
                    <w:t>B</w:t>
                  </w:r>
                  <w:r>
                    <w:t>，采用内插法计算得出</w:t>
                  </w:r>
                </w:p>
              </w:tc>
            </w:tr>
          </w:tbl>
          <w:p>
            <w:pPr>
              <w:tabs>
                <w:tab w:val="left" w:pos="567"/>
              </w:tabs>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排气筒高度除须遵守排放速率标准值外，还应高出周围200m半径范围的建筑5m以上，不能达到该要求的排气筒，应按其高度对应的表列排放速率标准值严格50%执行。新污染源的排气筒一般不应低于15m。若某新污染源的排气筒必须低于15m时，其排放速率标准值按外推计算结果再严格50%执行。</w:t>
            </w:r>
          </w:p>
          <w:p>
            <w:pPr>
              <w:tabs>
                <w:tab w:val="left" w:pos="567"/>
              </w:tabs>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（2）</w:t>
            </w:r>
            <w:r>
              <w:rPr>
                <w:rFonts w:hint="eastAsia" w:ascii="Times New Roman" w:hAnsi="Times New Roman"/>
                <w:color w:val="000000" w:themeColor="text1"/>
                <w:sz w:val="24"/>
              </w:rPr>
              <w:t>食堂油烟废气</w:t>
            </w:r>
          </w:p>
          <w:p>
            <w:pPr>
              <w:tabs>
                <w:tab w:val="left" w:pos="567"/>
              </w:tabs>
              <w:spacing w:line="360" w:lineRule="auto"/>
              <w:ind w:firstLine="480" w:firstLineChars="200"/>
              <w:rPr>
                <w:rFonts w:ascii="Times New Roman" w:hAnsi="Times New Roman" w:cs="Arial"/>
                <w:color w:val="000000" w:themeColor="text1"/>
                <w:szCs w:val="28"/>
              </w:rPr>
            </w:pPr>
            <w:r>
              <w:rPr>
                <w:rFonts w:hint="eastAsia" w:ascii="Times New Roman" w:hAnsi="Times New Roman"/>
                <w:color w:val="000000" w:themeColor="text1"/>
                <w:sz w:val="24"/>
              </w:rPr>
              <w:t>本项目设有食堂，共设两个油烟排放口，分别对应8个基准灶头和6个基准灶头，</w:t>
            </w:r>
            <w:r>
              <w:rPr>
                <w:rFonts w:ascii="Times New Roman" w:hAnsi="Times New Roman"/>
                <w:color w:val="000000" w:themeColor="text1"/>
                <w:sz w:val="24"/>
              </w:rPr>
              <w:t>产生的油烟废气排放执行《饮食业油烟排放标准（试行）》（GB18483-2001）</w:t>
            </w:r>
            <w:r>
              <w:rPr>
                <w:rFonts w:hint="eastAsia" w:ascii="Times New Roman" w:hAnsi="Times New Roman"/>
                <w:color w:val="000000" w:themeColor="text1"/>
                <w:sz w:val="24"/>
              </w:rPr>
              <w:t>中的大型规模标准</w:t>
            </w:r>
            <w:r>
              <w:rPr>
                <w:rFonts w:ascii="Times New Roman" w:hAnsi="Times New Roman"/>
                <w:color w:val="000000" w:themeColor="text1"/>
                <w:sz w:val="24"/>
              </w:rPr>
              <w:t>，具体标准值见表1-</w:t>
            </w:r>
            <w:r>
              <w:rPr>
                <w:rFonts w:hint="eastAsia" w:ascii="Times New Roman" w:hAnsi="Times New Roman"/>
                <w:color w:val="000000" w:themeColor="text1"/>
                <w:sz w:val="24"/>
              </w:rPr>
              <w:t>4</w:t>
            </w:r>
            <w:r>
              <w:rPr>
                <w:rFonts w:ascii="Times New Roman" w:hAnsi="Times New Roman"/>
                <w:color w:val="000000" w:themeColor="text1"/>
                <w:sz w:val="24"/>
              </w:rPr>
              <w:t>。</w:t>
            </w:r>
          </w:p>
          <w:p>
            <w:pPr>
              <w:tabs>
                <w:tab w:val="left" w:pos="567"/>
              </w:tabs>
              <w:spacing w:line="360" w:lineRule="auto"/>
              <w:jc w:val="center"/>
              <w:rPr>
                <w:rFonts w:ascii="Times New Roman" w:hAnsi="Times New Roman" w:cs="Arial"/>
                <w:b/>
                <w:color w:val="000000" w:themeColor="text1"/>
                <w:szCs w:val="28"/>
              </w:rPr>
            </w:pPr>
            <w:r>
              <w:rPr>
                <w:rFonts w:hint="eastAsia" w:ascii="Times New Roman" w:hAnsi="Times New Roman" w:cs="Arial"/>
                <w:b/>
                <w:color w:val="000000" w:themeColor="text1"/>
                <w:szCs w:val="28"/>
              </w:rPr>
              <w:t>表</w:t>
            </w:r>
            <w:r>
              <w:rPr>
                <w:rFonts w:ascii="Times New Roman" w:hAnsi="Times New Roman" w:cs="Arial"/>
                <w:b/>
                <w:color w:val="000000" w:themeColor="text1"/>
                <w:szCs w:val="28"/>
              </w:rPr>
              <w:t>1-</w:t>
            </w:r>
            <w:r>
              <w:rPr>
                <w:rFonts w:hint="eastAsia" w:ascii="Times New Roman" w:hAnsi="Times New Roman" w:cs="Arial"/>
                <w:b/>
                <w:color w:val="000000" w:themeColor="text1"/>
                <w:szCs w:val="28"/>
              </w:rPr>
              <w:t>4</w:t>
            </w:r>
            <w:r>
              <w:rPr>
                <w:rFonts w:ascii="Times New Roman" w:hAnsi="Times New Roman" w:cs="Arial"/>
                <w:b/>
                <w:color w:val="000000" w:themeColor="text1"/>
                <w:szCs w:val="28"/>
              </w:rPr>
              <w:t xml:space="preserve"> </w:t>
            </w:r>
            <w:r>
              <w:rPr>
                <w:rFonts w:hint="eastAsia" w:ascii="Times New Roman" w:hAnsi="Times New Roman" w:cs="Arial"/>
                <w:b/>
                <w:color w:val="000000" w:themeColor="text1"/>
                <w:szCs w:val="28"/>
              </w:rPr>
              <w:t>《饮食业油烟排放标准（试行）》（</w:t>
            </w:r>
            <w:r>
              <w:rPr>
                <w:rFonts w:ascii="Times New Roman" w:hAnsi="Times New Roman" w:cs="Arial"/>
                <w:b/>
                <w:color w:val="000000" w:themeColor="text1"/>
                <w:szCs w:val="28"/>
              </w:rPr>
              <w:t>GB-18483-2001</w:t>
            </w:r>
            <w:r>
              <w:rPr>
                <w:rFonts w:hint="eastAsia" w:ascii="Times New Roman" w:hAnsi="Times New Roman" w:cs="Arial"/>
                <w:b/>
                <w:color w:val="000000" w:themeColor="text1"/>
                <w:szCs w:val="28"/>
              </w:rPr>
              <w:t>）</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324"/>
              <w:gridCol w:w="1141"/>
              <w:gridCol w:w="1141"/>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469"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规模</w:t>
                  </w:r>
                </w:p>
              </w:tc>
              <w:tc>
                <w:tcPr>
                  <w:tcW w:w="848"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小型</w:t>
                  </w:r>
                </w:p>
              </w:tc>
              <w:tc>
                <w:tcPr>
                  <w:tcW w:w="848"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中型</w:t>
                  </w:r>
                </w:p>
              </w:tc>
              <w:tc>
                <w:tcPr>
                  <w:tcW w:w="834"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69"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基准灶头数</w:t>
                  </w:r>
                </w:p>
              </w:tc>
              <w:tc>
                <w:tcPr>
                  <w:tcW w:w="848" w:type="pct"/>
                  <w:tcBorders>
                    <w:top w:val="single" w:color="auto" w:sz="4" w:space="0"/>
                    <w:left w:val="single" w:color="auto" w:sz="4" w:space="0"/>
                    <w:bottom w:val="single" w:color="auto" w:sz="4" w:space="0"/>
                    <w:right w:val="single" w:color="auto" w:sz="4" w:space="0"/>
                  </w:tcBorders>
                  <w:vAlign w:val="center"/>
                </w:tcPr>
                <w:p>
                  <w:pPr>
                    <w:pStyle w:val="9"/>
                  </w:pPr>
                  <w:r>
                    <w:t>≥1，＜3</w:t>
                  </w:r>
                </w:p>
              </w:tc>
              <w:tc>
                <w:tcPr>
                  <w:tcW w:w="848" w:type="pct"/>
                  <w:tcBorders>
                    <w:top w:val="single" w:color="auto" w:sz="4" w:space="0"/>
                    <w:left w:val="single" w:color="auto" w:sz="4" w:space="0"/>
                    <w:bottom w:val="single" w:color="auto" w:sz="4" w:space="0"/>
                    <w:right w:val="single" w:color="auto" w:sz="4" w:space="0"/>
                  </w:tcBorders>
                  <w:vAlign w:val="center"/>
                </w:tcPr>
                <w:p>
                  <w:pPr>
                    <w:pStyle w:val="9"/>
                  </w:pPr>
                  <w:r>
                    <w:t>≥3，＜6</w:t>
                  </w:r>
                </w:p>
              </w:tc>
              <w:tc>
                <w:tcPr>
                  <w:tcW w:w="834" w:type="pct"/>
                  <w:tcBorders>
                    <w:top w:val="single" w:color="auto" w:sz="4" w:space="0"/>
                    <w:left w:val="single" w:color="auto" w:sz="4" w:space="0"/>
                    <w:bottom w:val="single" w:color="auto" w:sz="4" w:space="0"/>
                    <w:right w:val="single" w:color="auto" w:sz="4" w:space="0"/>
                  </w:tcBorders>
                  <w:vAlign w:val="center"/>
                </w:tcPr>
                <w:p>
                  <w:pPr>
                    <w:pStyle w:val="9"/>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69" w:type="pct"/>
                  <w:tcBorders>
                    <w:top w:val="single" w:color="auto" w:sz="4" w:space="0"/>
                    <w:left w:val="single" w:color="auto" w:sz="4" w:space="0"/>
                    <w:bottom w:val="single" w:color="auto" w:sz="4" w:space="0"/>
                    <w:right w:val="single" w:color="auto" w:sz="4" w:space="0"/>
                  </w:tcBorders>
                  <w:vAlign w:val="center"/>
                </w:tcPr>
                <w:p>
                  <w:pPr>
                    <w:pStyle w:val="9"/>
                  </w:pPr>
                  <w:r>
                    <w:t>对应灶头总功率  10</w:t>
                  </w:r>
                  <w:r>
                    <w:rPr>
                      <w:vertAlign w:val="superscript"/>
                    </w:rPr>
                    <w:t>8</w:t>
                  </w:r>
                  <w:r>
                    <w:t>J/h</w:t>
                  </w:r>
                </w:p>
              </w:tc>
              <w:tc>
                <w:tcPr>
                  <w:tcW w:w="848" w:type="pct"/>
                  <w:tcBorders>
                    <w:top w:val="single" w:color="auto" w:sz="4" w:space="0"/>
                    <w:left w:val="single" w:color="auto" w:sz="4" w:space="0"/>
                    <w:bottom w:val="single" w:color="auto" w:sz="4" w:space="0"/>
                    <w:right w:val="single" w:color="auto" w:sz="4" w:space="0"/>
                  </w:tcBorders>
                  <w:vAlign w:val="center"/>
                </w:tcPr>
                <w:p>
                  <w:pPr>
                    <w:pStyle w:val="9"/>
                  </w:pPr>
                  <w:r>
                    <w:t>1.67≥</w:t>
                  </w:r>
                </w:p>
              </w:tc>
              <w:tc>
                <w:tcPr>
                  <w:tcW w:w="848" w:type="pct"/>
                  <w:tcBorders>
                    <w:top w:val="single" w:color="auto" w:sz="4" w:space="0"/>
                    <w:left w:val="single" w:color="auto" w:sz="4" w:space="0"/>
                    <w:bottom w:val="single" w:color="auto" w:sz="4" w:space="0"/>
                    <w:right w:val="single" w:color="auto" w:sz="4" w:space="0"/>
                  </w:tcBorders>
                  <w:vAlign w:val="center"/>
                </w:tcPr>
                <w:p>
                  <w:pPr>
                    <w:pStyle w:val="9"/>
                  </w:pPr>
                  <w:r>
                    <w:t>≥5.00</w:t>
                  </w:r>
                </w:p>
              </w:tc>
              <w:tc>
                <w:tcPr>
                  <w:tcW w:w="834" w:type="pct"/>
                  <w:tcBorders>
                    <w:top w:val="single" w:color="auto" w:sz="4" w:space="0"/>
                    <w:left w:val="single" w:color="auto" w:sz="4" w:space="0"/>
                    <w:bottom w:val="single" w:color="auto" w:sz="4" w:space="0"/>
                    <w:right w:val="single" w:color="auto" w:sz="4" w:space="0"/>
                  </w:tcBorders>
                  <w:vAlign w:val="center"/>
                </w:tcPr>
                <w:p>
                  <w:pPr>
                    <w:pStyle w:val="9"/>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69"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对应排气罩灶面总投影面（</w:t>
                  </w:r>
                  <w:r>
                    <w:rPr>
                      <w:rFonts w:hAnsi="Times New Roman"/>
                    </w:rPr>
                    <w:t>m</w:t>
                  </w:r>
                  <w:r>
                    <w:rPr>
                      <w:rFonts w:hAnsi="Times New Roman"/>
                      <w:vertAlign w:val="superscript"/>
                    </w:rPr>
                    <w:t>2</w:t>
                  </w:r>
                  <w:r>
                    <w:t>）</w:t>
                  </w:r>
                </w:p>
              </w:tc>
              <w:tc>
                <w:tcPr>
                  <w:tcW w:w="848" w:type="pct"/>
                  <w:tcBorders>
                    <w:top w:val="single" w:color="auto" w:sz="4" w:space="0"/>
                    <w:left w:val="single" w:color="auto" w:sz="4" w:space="0"/>
                    <w:bottom w:val="single" w:color="auto" w:sz="4" w:space="0"/>
                    <w:right w:val="single" w:color="auto" w:sz="4" w:space="0"/>
                  </w:tcBorders>
                  <w:vAlign w:val="center"/>
                </w:tcPr>
                <w:p>
                  <w:pPr>
                    <w:pStyle w:val="9"/>
                  </w:pPr>
                  <w:r>
                    <w:t>≥1.1</w:t>
                  </w:r>
                </w:p>
              </w:tc>
              <w:tc>
                <w:tcPr>
                  <w:tcW w:w="848" w:type="pct"/>
                  <w:tcBorders>
                    <w:top w:val="single" w:color="auto" w:sz="4" w:space="0"/>
                    <w:left w:val="single" w:color="auto" w:sz="4" w:space="0"/>
                    <w:bottom w:val="single" w:color="auto" w:sz="4" w:space="0"/>
                    <w:right w:val="single" w:color="auto" w:sz="4" w:space="0"/>
                  </w:tcBorders>
                  <w:vAlign w:val="center"/>
                </w:tcPr>
                <w:p>
                  <w:pPr>
                    <w:pStyle w:val="9"/>
                  </w:pPr>
                  <w:r>
                    <w:t>≥3.3</w:t>
                  </w:r>
                </w:p>
              </w:tc>
              <w:tc>
                <w:tcPr>
                  <w:tcW w:w="834" w:type="pct"/>
                  <w:tcBorders>
                    <w:top w:val="single" w:color="auto" w:sz="4" w:space="0"/>
                    <w:left w:val="single" w:color="auto" w:sz="4" w:space="0"/>
                    <w:bottom w:val="single" w:color="auto" w:sz="4" w:space="0"/>
                    <w:right w:val="single" w:color="auto" w:sz="4" w:space="0"/>
                  </w:tcBorders>
                  <w:vAlign w:val="center"/>
                </w:tcPr>
                <w:p>
                  <w:pPr>
                    <w:pStyle w:val="9"/>
                  </w:pPr>
                  <w: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69"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最高允许排放浓度（</w:t>
                  </w:r>
                  <w:r>
                    <w:rPr>
                      <w:rFonts w:hAnsi="Times New Roman"/>
                    </w:rPr>
                    <w:t>mg/m</w:t>
                  </w:r>
                  <w:r>
                    <w:rPr>
                      <w:rFonts w:hAnsi="Times New Roman"/>
                      <w:vertAlign w:val="superscript"/>
                    </w:rPr>
                    <w:t>3</w:t>
                  </w:r>
                  <w:r>
                    <w:t>）</w:t>
                  </w:r>
                </w:p>
              </w:tc>
              <w:tc>
                <w:tcPr>
                  <w:tcW w:w="2531" w:type="pct"/>
                  <w:gridSpan w:val="3"/>
                  <w:tcBorders>
                    <w:top w:val="single" w:color="auto" w:sz="4" w:space="0"/>
                    <w:left w:val="single" w:color="auto" w:sz="4" w:space="0"/>
                    <w:bottom w:val="single" w:color="auto" w:sz="4" w:space="0"/>
                    <w:right w:val="single" w:color="auto" w:sz="4" w:space="0"/>
                  </w:tcBorders>
                  <w:vAlign w:val="center"/>
                </w:tcPr>
                <w:p>
                  <w:pPr>
                    <w:pStyle w:val="9"/>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69"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净化设施最低去除率（</w:t>
                  </w:r>
                  <w:r>
                    <w:rPr>
                      <w:rFonts w:hAnsi="Times New Roman"/>
                    </w:rPr>
                    <w:t>%</w:t>
                  </w:r>
                  <w:r>
                    <w:t>）</w:t>
                  </w:r>
                </w:p>
              </w:tc>
              <w:tc>
                <w:tcPr>
                  <w:tcW w:w="848" w:type="pct"/>
                  <w:tcBorders>
                    <w:top w:val="single" w:color="auto" w:sz="4" w:space="0"/>
                    <w:left w:val="single" w:color="auto" w:sz="4" w:space="0"/>
                    <w:bottom w:val="single" w:color="auto" w:sz="4" w:space="0"/>
                    <w:right w:val="single" w:color="auto" w:sz="4" w:space="0"/>
                  </w:tcBorders>
                  <w:vAlign w:val="center"/>
                </w:tcPr>
                <w:p>
                  <w:pPr>
                    <w:pStyle w:val="9"/>
                  </w:pPr>
                  <w:r>
                    <w:t>60</w:t>
                  </w:r>
                </w:p>
              </w:tc>
              <w:tc>
                <w:tcPr>
                  <w:tcW w:w="848" w:type="pct"/>
                  <w:tcBorders>
                    <w:top w:val="single" w:color="auto" w:sz="4" w:space="0"/>
                    <w:left w:val="single" w:color="auto" w:sz="4" w:space="0"/>
                    <w:bottom w:val="single" w:color="auto" w:sz="4" w:space="0"/>
                    <w:right w:val="single" w:color="auto" w:sz="4" w:space="0"/>
                  </w:tcBorders>
                  <w:vAlign w:val="center"/>
                </w:tcPr>
                <w:p>
                  <w:pPr>
                    <w:pStyle w:val="9"/>
                  </w:pPr>
                  <w:r>
                    <w:t>75</w:t>
                  </w:r>
                </w:p>
              </w:tc>
              <w:tc>
                <w:tcPr>
                  <w:tcW w:w="834" w:type="pct"/>
                  <w:tcBorders>
                    <w:top w:val="single" w:color="auto" w:sz="4" w:space="0"/>
                    <w:left w:val="single" w:color="auto" w:sz="4" w:space="0"/>
                    <w:bottom w:val="single" w:color="auto" w:sz="4" w:space="0"/>
                    <w:right w:val="single" w:color="auto" w:sz="4" w:space="0"/>
                  </w:tcBorders>
                  <w:vAlign w:val="center"/>
                </w:tcPr>
                <w:p>
                  <w:pPr>
                    <w:pStyle w:val="9"/>
                  </w:pPr>
                  <w:r>
                    <w:t>85</w:t>
                  </w:r>
                </w:p>
              </w:tc>
            </w:tr>
          </w:tbl>
          <w:p>
            <w:pPr>
              <w:tabs>
                <w:tab w:val="left" w:pos="567"/>
              </w:tabs>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（3）本项目所在区域属于重点区域，燃气锅炉废气排放执行《锅炉大气污染物排放标准》（GB 13271-2014）中表3特别排放限值。具体详见表1-</w:t>
            </w:r>
            <w:r>
              <w:rPr>
                <w:rFonts w:hint="eastAsia" w:ascii="Times New Roman" w:hAnsi="Times New Roman"/>
                <w:color w:val="000000" w:themeColor="text1"/>
                <w:sz w:val="24"/>
              </w:rPr>
              <w:t>5</w:t>
            </w:r>
            <w:r>
              <w:rPr>
                <w:rFonts w:ascii="Times New Roman" w:hAnsi="Times New Roman"/>
                <w:color w:val="000000" w:themeColor="text1"/>
                <w:sz w:val="24"/>
              </w:rPr>
              <w:t>。</w:t>
            </w:r>
          </w:p>
          <w:p>
            <w:pPr>
              <w:tabs>
                <w:tab w:val="left" w:pos="567"/>
              </w:tabs>
              <w:spacing w:line="360" w:lineRule="auto"/>
              <w:jc w:val="center"/>
              <w:rPr>
                <w:rFonts w:ascii="Times New Roman" w:hAnsi="Times New Roman"/>
                <w:b/>
                <w:color w:val="000000" w:themeColor="text1"/>
                <w:szCs w:val="28"/>
              </w:rPr>
            </w:pPr>
            <w:r>
              <w:rPr>
                <w:rFonts w:ascii="Times New Roman" w:hAnsi="Times New Roman"/>
                <w:b/>
                <w:color w:val="000000" w:themeColor="text1"/>
                <w:szCs w:val="28"/>
              </w:rPr>
              <w:t>表1-</w:t>
            </w:r>
            <w:r>
              <w:rPr>
                <w:rFonts w:hint="eastAsia" w:ascii="Times New Roman" w:hAnsi="Times New Roman"/>
                <w:b/>
                <w:color w:val="000000" w:themeColor="text1"/>
                <w:szCs w:val="28"/>
              </w:rPr>
              <w:t>5</w:t>
            </w:r>
            <w:r>
              <w:rPr>
                <w:rFonts w:ascii="Times New Roman" w:hAnsi="Times New Roman"/>
                <w:b/>
                <w:color w:val="000000" w:themeColor="text1"/>
                <w:szCs w:val="28"/>
              </w:rPr>
              <w:t xml:space="preserve"> 《锅炉大气污染物排放标准》（GB 13271-2014）</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073"/>
              <w:gridCol w:w="1944"/>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序号</w:t>
                  </w:r>
                </w:p>
              </w:tc>
              <w:tc>
                <w:tcPr>
                  <w:tcW w:w="1540"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类别</w:t>
                  </w:r>
                </w:p>
              </w:tc>
              <w:tc>
                <w:tcPr>
                  <w:tcW w:w="1444"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燃气锅炉最高允许排放浓度（</w:t>
                  </w:r>
                  <w:r>
                    <w:rPr>
                      <w:rFonts w:hAnsi="Times New Roman"/>
                    </w:rPr>
                    <w:t>mg/m</w:t>
                  </w:r>
                  <w:r>
                    <w:rPr>
                      <w:rFonts w:hAnsi="Times New Roman"/>
                      <w:vertAlign w:val="superscript"/>
                    </w:rPr>
                    <w:t>3</w:t>
                  </w:r>
                  <w:r>
                    <w:t>）</w:t>
                  </w:r>
                </w:p>
              </w:tc>
              <w:tc>
                <w:tcPr>
                  <w:tcW w:w="1509"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pPr>
                    <w:pStyle w:val="9"/>
                  </w:pPr>
                  <w:r>
                    <w:t>1</w:t>
                  </w:r>
                </w:p>
              </w:tc>
              <w:tc>
                <w:tcPr>
                  <w:tcW w:w="1540"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颗粒物</w:t>
                  </w:r>
                </w:p>
              </w:tc>
              <w:tc>
                <w:tcPr>
                  <w:tcW w:w="1444" w:type="pct"/>
                  <w:tcBorders>
                    <w:top w:val="single" w:color="auto" w:sz="4" w:space="0"/>
                    <w:left w:val="single" w:color="auto" w:sz="4" w:space="0"/>
                    <w:bottom w:val="single" w:color="auto" w:sz="4" w:space="0"/>
                    <w:right w:val="single" w:color="auto" w:sz="4" w:space="0"/>
                  </w:tcBorders>
                  <w:vAlign w:val="center"/>
                </w:tcPr>
                <w:p>
                  <w:pPr>
                    <w:pStyle w:val="9"/>
                  </w:pPr>
                  <w:r>
                    <w:t>20</w:t>
                  </w:r>
                </w:p>
              </w:tc>
              <w:tc>
                <w:tcPr>
                  <w:tcW w:w="1509" w:type="pct"/>
                  <w:vMerge w:val="restar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pPr>
                    <w:pStyle w:val="9"/>
                  </w:pPr>
                  <w:r>
                    <w:t>2</w:t>
                  </w:r>
                </w:p>
              </w:tc>
              <w:tc>
                <w:tcPr>
                  <w:tcW w:w="1540"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二氧化硫</w:t>
                  </w:r>
                </w:p>
              </w:tc>
              <w:tc>
                <w:tcPr>
                  <w:tcW w:w="1444" w:type="pct"/>
                  <w:tcBorders>
                    <w:top w:val="single" w:color="auto" w:sz="4" w:space="0"/>
                    <w:left w:val="single" w:color="auto" w:sz="4" w:space="0"/>
                    <w:bottom w:val="single" w:color="auto" w:sz="4" w:space="0"/>
                    <w:right w:val="single" w:color="auto" w:sz="4" w:space="0"/>
                  </w:tcBorders>
                  <w:vAlign w:val="center"/>
                </w:tcPr>
                <w:p>
                  <w:pPr>
                    <w:pStyle w:val="9"/>
                  </w:pPr>
                  <w:r>
                    <w:t>50</w:t>
                  </w:r>
                </w:p>
              </w:tc>
              <w:tc>
                <w:tcPr>
                  <w:tcW w:w="222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pPr>
                    <w:pStyle w:val="9"/>
                  </w:pPr>
                  <w:r>
                    <w:t>3</w:t>
                  </w:r>
                </w:p>
              </w:tc>
              <w:tc>
                <w:tcPr>
                  <w:tcW w:w="1540"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氮氧化物</w:t>
                  </w:r>
                </w:p>
              </w:tc>
              <w:tc>
                <w:tcPr>
                  <w:tcW w:w="1444" w:type="pct"/>
                  <w:tcBorders>
                    <w:top w:val="single" w:color="auto" w:sz="4" w:space="0"/>
                    <w:left w:val="single" w:color="auto" w:sz="4" w:space="0"/>
                    <w:bottom w:val="single" w:color="auto" w:sz="4" w:space="0"/>
                    <w:right w:val="single" w:color="auto" w:sz="4" w:space="0"/>
                  </w:tcBorders>
                  <w:vAlign w:val="center"/>
                </w:tcPr>
                <w:p>
                  <w:pPr>
                    <w:pStyle w:val="9"/>
                  </w:pPr>
                  <w:r>
                    <w:t>150</w:t>
                  </w:r>
                </w:p>
              </w:tc>
              <w:tc>
                <w:tcPr>
                  <w:tcW w:w="222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pPr>
                    <w:pStyle w:val="9"/>
                  </w:pPr>
                  <w:r>
                    <w:t>4</w:t>
                  </w:r>
                </w:p>
              </w:tc>
              <w:tc>
                <w:tcPr>
                  <w:tcW w:w="1540"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烟气黑度</w:t>
                  </w:r>
                  <w:r>
                    <w:rPr>
                      <w:rFonts w:hAnsi="Times New Roman"/>
                    </w:rPr>
                    <w:t>(</w:t>
                  </w:r>
                  <w:r>
                    <w:t>林格曼黑度</w:t>
                  </w:r>
                  <w:r>
                    <w:rPr>
                      <w:rFonts w:hAnsi="Times New Roman"/>
                    </w:rPr>
                    <w:t>)</w:t>
                  </w:r>
                </w:p>
              </w:tc>
              <w:tc>
                <w:tcPr>
                  <w:tcW w:w="1444" w:type="pct"/>
                  <w:tcBorders>
                    <w:top w:val="single" w:color="auto" w:sz="4" w:space="0"/>
                    <w:left w:val="single" w:color="auto" w:sz="4" w:space="0"/>
                    <w:bottom w:val="single" w:color="auto" w:sz="4" w:space="0"/>
                    <w:right w:val="single" w:color="auto" w:sz="4" w:space="0"/>
                  </w:tcBorders>
                  <w:vAlign w:val="center"/>
                </w:tcPr>
                <w:p>
                  <w:pPr>
                    <w:pStyle w:val="9"/>
                  </w:pPr>
                  <w:r>
                    <w:t>≤1级</w:t>
                  </w:r>
                </w:p>
              </w:tc>
              <w:tc>
                <w:tcPr>
                  <w:tcW w:w="222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7" w:type="pct"/>
                  <w:tcBorders>
                    <w:top w:val="single" w:color="auto" w:sz="4" w:space="0"/>
                    <w:left w:val="single" w:color="auto" w:sz="4" w:space="0"/>
                    <w:bottom w:val="single" w:color="auto" w:sz="4" w:space="0"/>
                    <w:right w:val="single" w:color="auto" w:sz="4" w:space="0"/>
                  </w:tcBorders>
                  <w:vAlign w:val="center"/>
                </w:tcPr>
                <w:p>
                  <w:pPr>
                    <w:pStyle w:val="9"/>
                  </w:pPr>
                  <w:r>
                    <w:t>5</w:t>
                  </w:r>
                </w:p>
              </w:tc>
              <w:tc>
                <w:tcPr>
                  <w:tcW w:w="1540"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烟囱最低允许高度</w:t>
                  </w:r>
                </w:p>
              </w:tc>
              <w:tc>
                <w:tcPr>
                  <w:tcW w:w="1444"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t>不得低于</w:t>
                  </w:r>
                  <w:r>
                    <w:rPr>
                      <w:rFonts w:hAnsi="Times New Roman"/>
                    </w:rPr>
                    <w:t>8m</w:t>
                  </w:r>
                </w:p>
              </w:tc>
              <w:tc>
                <w:tcPr>
                  <w:tcW w:w="1509" w:type="pct"/>
                  <w:tcBorders>
                    <w:top w:val="single" w:color="auto" w:sz="4" w:space="0"/>
                    <w:left w:val="single" w:color="auto" w:sz="4" w:space="0"/>
                    <w:bottom w:val="single" w:color="auto" w:sz="4" w:space="0"/>
                    <w:right w:val="single" w:color="auto" w:sz="4" w:space="0"/>
                  </w:tcBorders>
                  <w:vAlign w:val="center"/>
                </w:tcPr>
                <w:p>
                  <w:pPr>
                    <w:pStyle w:val="9"/>
                    <w:rPr>
                      <w:rFonts w:hAnsi="Times New Roman"/>
                    </w:rPr>
                  </w:pPr>
                  <w:r>
                    <w:rPr>
                      <w:rFonts w:hint="eastAsia"/>
                    </w:rPr>
                    <w:t>/</w:t>
                  </w:r>
                </w:p>
              </w:tc>
            </w:tr>
          </w:tbl>
          <w:p>
            <w:pPr>
              <w:tabs>
                <w:tab w:val="left" w:pos="567"/>
              </w:tabs>
              <w:spacing w:line="360" w:lineRule="auto"/>
              <w:ind w:firstLine="480" w:firstLineChars="200"/>
              <w:rPr>
                <w:rFonts w:ascii="Times New Roman" w:hAnsi="Times New Roman" w:cs="Arial"/>
                <w:color w:val="000000" w:themeColor="text1"/>
                <w:sz w:val="24"/>
              </w:rPr>
            </w:pPr>
            <w:r>
              <w:rPr>
                <w:rFonts w:hint="eastAsia" w:ascii="Times New Roman" w:hAnsi="Times New Roman" w:cs="Arial"/>
                <w:color w:val="000000" w:themeColor="text1"/>
                <w:sz w:val="24"/>
              </w:rPr>
              <w:t>（4）恶臭污染物</w:t>
            </w:r>
          </w:p>
          <w:p>
            <w:pPr>
              <w:adjustRightInd w:val="0"/>
              <w:snapToGrid w:val="0"/>
              <w:spacing w:line="360" w:lineRule="auto"/>
              <w:ind w:firstLine="480" w:firstLineChars="200"/>
              <w:jc w:val="left"/>
              <w:rPr>
                <w:rFonts w:ascii="Times New Roman" w:hAnsi="Times New Roman"/>
                <w:kern w:val="0"/>
                <w:sz w:val="24"/>
              </w:rPr>
            </w:pPr>
            <w:r>
              <w:rPr>
                <w:rFonts w:hint="eastAsia" w:ascii="Times New Roman" w:hAnsi="Times New Roman"/>
                <w:kern w:val="0"/>
                <w:sz w:val="24"/>
              </w:rPr>
              <w:t>项目设有1个垃圾收集房，仅安放有盖式垃圾桶，不设置垃圾压缩装设备，主要用于校园内的垃圾收集和临时堆放。在垃圾的收集、转运过程中，部分易腐败的有机垃圾由于其分解会发出异味，对环境的影响主要表现为恶臭。臭气浓度执行《恶臭污染物排放标准》（</w:t>
            </w:r>
            <w:r>
              <w:rPr>
                <w:rFonts w:ascii="Times New Roman" w:hAnsi="Times New Roman"/>
                <w:kern w:val="0"/>
                <w:sz w:val="24"/>
              </w:rPr>
              <w:t>GB14554-93</w:t>
            </w:r>
            <w:r>
              <w:rPr>
                <w:rFonts w:hint="eastAsia" w:ascii="Times New Roman" w:hAnsi="Times New Roman"/>
                <w:kern w:val="0"/>
                <w:sz w:val="24"/>
              </w:rPr>
              <w:t>）的表</w:t>
            </w:r>
            <w:r>
              <w:rPr>
                <w:rFonts w:ascii="Times New Roman" w:hAnsi="Times New Roman"/>
                <w:kern w:val="0"/>
                <w:sz w:val="24"/>
              </w:rPr>
              <w:t>1</w:t>
            </w:r>
            <w:r>
              <w:rPr>
                <w:rFonts w:hint="eastAsia" w:ascii="Times New Roman" w:hAnsi="Times New Roman"/>
                <w:kern w:val="0"/>
                <w:sz w:val="24"/>
              </w:rPr>
              <w:t>中的二级标准限值，详见表</w:t>
            </w:r>
            <w:r>
              <w:rPr>
                <w:rFonts w:ascii="Times New Roman" w:hAnsi="Times New Roman"/>
                <w:kern w:val="0"/>
                <w:sz w:val="24"/>
              </w:rPr>
              <w:t>1-</w:t>
            </w:r>
            <w:r>
              <w:rPr>
                <w:rFonts w:hint="eastAsia" w:ascii="Times New Roman" w:hAnsi="Times New Roman"/>
                <w:kern w:val="0"/>
                <w:sz w:val="24"/>
              </w:rPr>
              <w:t>6。</w:t>
            </w:r>
          </w:p>
          <w:p>
            <w:pPr>
              <w:adjustRightInd w:val="0"/>
              <w:snapToGrid w:val="0"/>
              <w:spacing w:line="360" w:lineRule="auto"/>
              <w:jc w:val="center"/>
              <w:rPr>
                <w:rFonts w:ascii="Times New Roman" w:hAnsi="Times New Roman"/>
                <w:kern w:val="0"/>
                <w:szCs w:val="21"/>
              </w:rPr>
            </w:pPr>
            <w:r>
              <w:rPr>
                <w:rFonts w:hint="eastAsia" w:ascii="Times New Roman"/>
                <w:b/>
                <w:color w:val="000000"/>
                <w:szCs w:val="21"/>
              </w:rPr>
              <w:t>表</w:t>
            </w:r>
            <w:r>
              <w:rPr>
                <w:rFonts w:ascii="Times New Roman" w:hAnsi="Times New Roman"/>
                <w:b/>
                <w:color w:val="000000"/>
                <w:szCs w:val="21"/>
              </w:rPr>
              <w:t>1-</w:t>
            </w:r>
            <w:r>
              <w:rPr>
                <w:rFonts w:hint="eastAsia" w:ascii="Times New Roman" w:hAnsi="Times New Roman"/>
                <w:b/>
                <w:color w:val="000000"/>
                <w:szCs w:val="21"/>
              </w:rPr>
              <w:t>6</w:t>
            </w:r>
            <w:r>
              <w:rPr>
                <w:rFonts w:hint="eastAsia" w:ascii="Times New Roman"/>
                <w:b/>
                <w:bCs/>
                <w:color w:val="000000"/>
                <w:szCs w:val="21"/>
              </w:rPr>
              <w:t>《恶臭污染物排放标准》（</w:t>
            </w:r>
            <w:r>
              <w:rPr>
                <w:rFonts w:ascii="Times New Roman" w:hAnsi="Times New Roman"/>
                <w:b/>
                <w:bCs/>
                <w:color w:val="000000"/>
                <w:szCs w:val="21"/>
              </w:rPr>
              <w:t>GB14554-93</w:t>
            </w:r>
            <w:r>
              <w:rPr>
                <w:rFonts w:hint="eastAsia" w:ascii="Times New Roman"/>
                <w:b/>
                <w:bCs/>
                <w:color w:val="000000"/>
                <w:szCs w:val="21"/>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65"/>
              <w:gridCol w:w="1648"/>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83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kern w:val="0"/>
                      <w:szCs w:val="21"/>
                    </w:rPr>
                  </w:pPr>
                  <w:r>
                    <w:rPr>
                      <w:rFonts w:hint="eastAsia" w:ascii="Times New Roman" w:hAnsi="Times New Roman"/>
                      <w:kern w:val="0"/>
                      <w:szCs w:val="21"/>
                    </w:rPr>
                    <w:t>序号</w:t>
                  </w:r>
                </w:p>
              </w:tc>
              <w:tc>
                <w:tcPr>
                  <w:tcW w:w="24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kern w:val="0"/>
                      <w:szCs w:val="21"/>
                    </w:rPr>
                  </w:pPr>
                  <w:r>
                    <w:rPr>
                      <w:rFonts w:hint="eastAsia" w:ascii="Times New Roman" w:hAnsi="Times New Roman"/>
                      <w:kern w:val="0"/>
                      <w:szCs w:val="21"/>
                    </w:rPr>
                    <w:t>控制项目</w:t>
                  </w:r>
                </w:p>
              </w:tc>
              <w:tc>
                <w:tcPr>
                  <w:tcW w:w="16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kern w:val="0"/>
                      <w:szCs w:val="21"/>
                    </w:rPr>
                  </w:pPr>
                  <w:r>
                    <w:rPr>
                      <w:rFonts w:hint="eastAsia" w:ascii="Times New Roman" w:hAnsi="Times New Roman"/>
                      <w:kern w:val="0"/>
                      <w:szCs w:val="21"/>
                    </w:rPr>
                    <w:t>单位</w:t>
                  </w:r>
                </w:p>
              </w:tc>
              <w:tc>
                <w:tcPr>
                  <w:tcW w:w="16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kern w:val="0"/>
                      <w:szCs w:val="21"/>
                    </w:rPr>
                  </w:pPr>
                  <w:r>
                    <w:rPr>
                      <w:rFonts w:hint="eastAsia" w:ascii="Times New Roman" w:hAnsi="Times New Roman"/>
                      <w:kern w:val="0"/>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83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kern w:val="0"/>
                      <w:szCs w:val="21"/>
                    </w:rPr>
                  </w:pPr>
                  <w:r>
                    <w:rPr>
                      <w:rFonts w:ascii="Times New Roman" w:hAnsi="Times New Roman"/>
                      <w:kern w:val="0"/>
                      <w:szCs w:val="21"/>
                    </w:rPr>
                    <w:t>1</w:t>
                  </w:r>
                </w:p>
              </w:tc>
              <w:tc>
                <w:tcPr>
                  <w:tcW w:w="24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kern w:val="0"/>
                      <w:szCs w:val="21"/>
                    </w:rPr>
                  </w:pPr>
                  <w:r>
                    <w:rPr>
                      <w:rFonts w:hint="eastAsia" w:ascii="Times New Roman" w:hAnsi="Times New Roman"/>
                      <w:kern w:val="0"/>
                      <w:szCs w:val="21"/>
                    </w:rPr>
                    <w:t>臭气浓度</w:t>
                  </w:r>
                </w:p>
              </w:tc>
              <w:tc>
                <w:tcPr>
                  <w:tcW w:w="16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kern w:val="0"/>
                      <w:szCs w:val="21"/>
                    </w:rPr>
                  </w:pPr>
                  <w:r>
                    <w:rPr>
                      <w:rFonts w:hint="eastAsia" w:ascii="Times New Roman" w:hAnsi="Times New Roman"/>
                      <w:kern w:val="0"/>
                      <w:szCs w:val="21"/>
                    </w:rPr>
                    <w:t>无量纲</w:t>
                  </w:r>
                </w:p>
              </w:tc>
              <w:tc>
                <w:tcPr>
                  <w:tcW w:w="16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kern w:val="0"/>
                      <w:szCs w:val="21"/>
                    </w:rPr>
                  </w:pPr>
                  <w:r>
                    <w:rPr>
                      <w:rFonts w:ascii="Times New Roman" w:hAnsi="Times New Roman"/>
                      <w:kern w:val="0"/>
                      <w:szCs w:val="21"/>
                    </w:rPr>
                    <w:t>20</w:t>
                  </w:r>
                </w:p>
              </w:tc>
            </w:tr>
          </w:tbl>
          <w:p>
            <w:pPr>
              <w:tabs>
                <w:tab w:val="left" w:pos="567"/>
              </w:tabs>
              <w:spacing w:line="360" w:lineRule="auto"/>
              <w:ind w:firstLine="480" w:firstLineChars="200"/>
              <w:rPr>
                <w:rFonts w:ascii="Times New Roman" w:hAnsi="Times New Roman"/>
                <w:color w:val="000000" w:themeColor="text1"/>
                <w:sz w:val="24"/>
              </w:rPr>
            </w:pPr>
            <w:r>
              <w:rPr>
                <w:rFonts w:ascii="Times New Roman" w:hAnsi="Times New Roman"/>
                <w:color w:val="000000" w:themeColor="text1"/>
                <w:sz w:val="24"/>
              </w:rPr>
              <w:t>3、噪声</w:t>
            </w:r>
          </w:p>
          <w:p>
            <w:pPr>
              <w:tabs>
                <w:tab w:val="left" w:pos="567"/>
              </w:tabs>
              <w:spacing w:line="360" w:lineRule="auto"/>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本项目学校不设晚自习，没有宿舍，不考虑夜间噪声。</w:t>
            </w:r>
            <w:r>
              <w:rPr>
                <w:rFonts w:ascii="Times New Roman" w:hAnsi="Times New Roman"/>
                <w:color w:val="000000" w:themeColor="text1"/>
                <w:sz w:val="24"/>
              </w:rPr>
              <w:t>根据《杭州市</w:t>
            </w:r>
            <w:r>
              <w:rPr>
                <w:rFonts w:hint="eastAsia" w:ascii="Times New Roman" w:hAnsi="Times New Roman"/>
                <w:color w:val="000000" w:themeColor="text1"/>
                <w:sz w:val="24"/>
              </w:rPr>
              <w:t>临平</w:t>
            </w:r>
            <w:r>
              <w:rPr>
                <w:rFonts w:ascii="Times New Roman" w:hAnsi="Times New Roman"/>
                <w:color w:val="000000" w:themeColor="text1"/>
                <w:sz w:val="24"/>
              </w:rPr>
              <w:t>区声环境功能区划分方案（2021年修订版）》，</w:t>
            </w:r>
            <w:r>
              <w:rPr>
                <w:rFonts w:hint="eastAsia" w:ascii="Times New Roman" w:hAnsi="Times New Roman"/>
                <w:color w:val="000000" w:themeColor="text1"/>
                <w:sz w:val="24"/>
              </w:rPr>
              <w:t>项目位于201声环境功能区，东南侧80m外为主干路临丁路，西北侧20m外为次干路留月街，留月街相邻35m范围为4a类声环境功能区。因此西北</w:t>
            </w:r>
            <w:r>
              <w:rPr>
                <w:rFonts w:ascii="Times New Roman" w:hAnsi="Times New Roman"/>
                <w:color w:val="000000" w:themeColor="text1"/>
                <w:sz w:val="24"/>
              </w:rPr>
              <w:t>侧</w:t>
            </w:r>
            <w:r>
              <w:rPr>
                <w:rFonts w:hint="eastAsia" w:ascii="Times New Roman" w:hAnsi="Arial"/>
                <w:sz w:val="24"/>
                <w:lang w:val="en-US" w:eastAsia="zh-CN"/>
              </w:rPr>
              <w:t>学校场界</w:t>
            </w:r>
            <w:r>
              <w:rPr>
                <w:rFonts w:ascii="Times New Roman" w:hAnsi="Times New Roman"/>
                <w:color w:val="000000" w:themeColor="text1"/>
                <w:sz w:val="24"/>
              </w:rPr>
              <w:t>执行4a类标准。具体标准值见1-</w:t>
            </w:r>
            <w:r>
              <w:rPr>
                <w:rFonts w:hint="eastAsia" w:ascii="Times New Roman" w:hAnsi="Times New Roman"/>
                <w:color w:val="000000" w:themeColor="text1"/>
                <w:sz w:val="24"/>
              </w:rPr>
              <w:t>7</w:t>
            </w:r>
            <w:r>
              <w:rPr>
                <w:rFonts w:ascii="Times New Roman" w:hAnsi="Times New Roman"/>
                <w:color w:val="000000" w:themeColor="text1"/>
                <w:sz w:val="24"/>
              </w:rPr>
              <w:t>。</w:t>
            </w:r>
          </w:p>
          <w:p>
            <w:pPr>
              <w:tabs>
                <w:tab w:val="left" w:pos="567"/>
              </w:tabs>
              <w:spacing w:line="360" w:lineRule="auto"/>
              <w:ind w:firstLine="480" w:firstLineChars="200"/>
              <w:rPr>
                <w:rFonts w:ascii="Times New Roman" w:hAnsi="Times New Roman"/>
                <w:color w:val="000000" w:themeColor="text1"/>
                <w:sz w:val="24"/>
              </w:rPr>
            </w:pPr>
            <w:r>
              <w:rPr>
                <w:rFonts w:hint="eastAsia" w:ascii="Times New Roman" w:hAnsi="Times New Roman"/>
                <w:color w:val="000000" w:themeColor="text1"/>
                <w:sz w:val="24"/>
              </w:rPr>
              <w:t>项目声环境保护目标为东北侧约5m处星乐小区二区，位于2类声环境功能区，</w:t>
            </w:r>
            <w:r>
              <w:rPr>
                <w:rFonts w:hint="eastAsia" w:ascii="Times New Roman" w:hAnsi="Times New Roman"/>
                <w:color w:val="FF0000"/>
                <w:sz w:val="24"/>
              </w:rPr>
              <w:t>声环境保护目标环境噪声限值</w:t>
            </w:r>
            <w:r>
              <w:rPr>
                <w:rFonts w:hint="eastAsia" w:ascii="Times New Roman" w:hAnsi="Times New Roman"/>
                <w:color w:val="000000" w:themeColor="text1"/>
                <w:sz w:val="24"/>
              </w:rPr>
              <w:t>执行《声环境质量标准》（GB3096-2008）中2类标准要求，具体标准值见表1-8。</w:t>
            </w:r>
          </w:p>
          <w:p>
            <w:pPr>
              <w:tabs>
                <w:tab w:val="left" w:pos="567"/>
              </w:tabs>
              <w:spacing w:line="360" w:lineRule="auto"/>
              <w:ind w:firstLine="422" w:firstLineChars="200"/>
              <w:rPr>
                <w:rFonts w:ascii="Times New Roman" w:hAnsi="Times New Roman"/>
                <w:b/>
                <w:color w:val="000000" w:themeColor="text1"/>
                <w:szCs w:val="28"/>
              </w:rPr>
            </w:pPr>
            <w:r>
              <w:rPr>
                <w:rFonts w:ascii="Times New Roman" w:hAnsi="Times New Roman"/>
                <w:b/>
                <w:color w:val="000000" w:themeColor="text1"/>
                <w:szCs w:val="28"/>
              </w:rPr>
              <w:t>表1-</w:t>
            </w:r>
            <w:r>
              <w:rPr>
                <w:rFonts w:hint="eastAsia" w:ascii="Times New Roman" w:hAnsi="Times New Roman"/>
                <w:b/>
                <w:color w:val="000000" w:themeColor="text1"/>
                <w:szCs w:val="28"/>
              </w:rPr>
              <w:t>7</w:t>
            </w:r>
            <w:r>
              <w:rPr>
                <w:rFonts w:ascii="Times New Roman" w:hAnsi="Times New Roman"/>
                <w:b/>
                <w:color w:val="000000" w:themeColor="text1"/>
                <w:szCs w:val="28"/>
              </w:rPr>
              <w:t xml:space="preserve"> 《工业企业厂界环境噪声排放标准》（GB12348-2008）</w:t>
            </w:r>
          </w:p>
          <w:tbl>
            <w:tblPr>
              <w:tblStyle w:val="33"/>
              <w:tblW w:w="45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3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Arial"/>
                    </w:rPr>
                    <w:t>边界外声环境功能区类别</w:t>
                  </w:r>
                </w:p>
              </w:tc>
              <w:tc>
                <w:tcPr>
                  <w:tcW w:w="165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Aria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3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Times New Roman"/>
                    </w:rPr>
                    <w:t>2</w:t>
                  </w:r>
                </w:p>
              </w:tc>
              <w:tc>
                <w:tcPr>
                  <w:tcW w:w="165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Times New Roma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3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Times New Roman"/>
                    </w:rPr>
                    <w:t>4</w:t>
                  </w:r>
                </w:p>
              </w:tc>
              <w:tc>
                <w:tcPr>
                  <w:tcW w:w="165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Times New Roman"/>
                    </w:rPr>
                    <w:t>70</w:t>
                  </w:r>
                </w:p>
              </w:tc>
            </w:tr>
          </w:tbl>
          <w:p>
            <w:pPr>
              <w:tabs>
                <w:tab w:val="left" w:pos="567"/>
              </w:tabs>
              <w:spacing w:line="360" w:lineRule="auto"/>
              <w:ind w:firstLine="422" w:firstLineChars="200"/>
              <w:jc w:val="center"/>
              <w:rPr>
                <w:rFonts w:ascii="Times New Roman" w:hAnsi="Times New Roman"/>
                <w:b/>
                <w:color w:val="000000" w:themeColor="text1"/>
                <w:szCs w:val="28"/>
              </w:rPr>
            </w:pPr>
            <w:r>
              <w:rPr>
                <w:rFonts w:ascii="Times New Roman" w:hAnsi="Times New Roman"/>
                <w:b/>
                <w:color w:val="000000" w:themeColor="text1"/>
                <w:szCs w:val="28"/>
              </w:rPr>
              <w:t>表1-</w:t>
            </w:r>
            <w:r>
              <w:rPr>
                <w:rFonts w:hint="eastAsia" w:ascii="Times New Roman" w:hAnsi="Times New Roman"/>
                <w:b/>
                <w:color w:val="000000" w:themeColor="text1"/>
                <w:szCs w:val="28"/>
              </w:rPr>
              <w:t>8</w:t>
            </w:r>
            <w:r>
              <w:rPr>
                <w:rFonts w:ascii="Times New Roman" w:hAnsi="Times New Roman"/>
                <w:b/>
                <w:color w:val="000000" w:themeColor="text1"/>
                <w:szCs w:val="28"/>
              </w:rPr>
              <w:t xml:space="preserve"> </w:t>
            </w:r>
            <w:r>
              <w:rPr>
                <w:rFonts w:hint="eastAsia" w:ascii="Times New Roman" w:hAnsi="Times New Roman"/>
                <w:b/>
                <w:color w:val="000000" w:themeColor="text1"/>
                <w:szCs w:val="28"/>
              </w:rPr>
              <w:t>《声环境质量标准》（GB3096-2008）</w:t>
            </w:r>
          </w:p>
          <w:tbl>
            <w:tblPr>
              <w:tblStyle w:val="33"/>
              <w:tblW w:w="45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33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Arial"/>
                    </w:rPr>
                    <w:t>声环境功能区类别</w:t>
                  </w:r>
                </w:p>
              </w:tc>
              <w:tc>
                <w:tcPr>
                  <w:tcW w:w="165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Arial"/>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34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Times New Roman"/>
                    </w:rPr>
                    <w:t>2</w:t>
                  </w:r>
                </w:p>
              </w:tc>
              <w:tc>
                <w:tcPr>
                  <w:tcW w:w="165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rPr>
                  </w:pPr>
                  <w:r>
                    <w:rPr>
                      <w:rFonts w:ascii="Times New Roman" w:hAnsi="Times New Roman"/>
                    </w:rPr>
                    <w:t>60</w:t>
                  </w:r>
                </w:p>
              </w:tc>
            </w:tr>
          </w:tbl>
          <w:p>
            <w:pPr>
              <w:tabs>
                <w:tab w:val="left" w:pos="567"/>
              </w:tabs>
              <w:spacing w:line="360" w:lineRule="auto"/>
              <w:ind w:firstLine="480" w:firstLineChars="200"/>
              <w:jc w:val="left"/>
              <w:rPr>
                <w:rFonts w:ascii="Times New Roman" w:hAnsi="Times New Roman" w:cs="Arial"/>
                <w:color w:val="000000" w:themeColor="text1"/>
                <w:sz w:val="24"/>
              </w:rPr>
            </w:pPr>
            <w:r>
              <w:rPr>
                <w:rFonts w:ascii="Times New Roman" w:hAnsi="Times New Roman" w:cs="Arial"/>
                <w:color w:val="000000" w:themeColor="text1"/>
                <w:sz w:val="24"/>
              </w:rPr>
              <w:t xml:space="preserve">4. </w:t>
            </w:r>
            <w:r>
              <w:rPr>
                <w:rFonts w:hint="eastAsia" w:ascii="Times New Roman" w:hAnsi="Times New Roman" w:cs="Arial"/>
                <w:color w:val="000000" w:themeColor="text1"/>
                <w:sz w:val="24"/>
              </w:rPr>
              <w:t>固体废物控制标准</w:t>
            </w:r>
          </w:p>
          <w:p>
            <w:pPr>
              <w:tabs>
                <w:tab w:val="left" w:pos="567"/>
              </w:tabs>
              <w:spacing w:line="360" w:lineRule="auto"/>
              <w:ind w:firstLine="480" w:firstLineChars="200"/>
              <w:jc w:val="left"/>
              <w:rPr>
                <w:rFonts w:ascii="Times New Roman" w:hAnsi="Times New Roman" w:cs="Arial"/>
                <w:color w:val="000000" w:themeColor="text1"/>
                <w:sz w:val="24"/>
              </w:rPr>
            </w:pPr>
            <w:r>
              <w:rPr>
                <w:rFonts w:hint="eastAsia" w:ascii="Times New Roman" w:hAnsi="Times New Roman" w:cs="Arial"/>
                <w:color w:val="000000" w:themeColor="text1"/>
                <w:sz w:val="24"/>
              </w:rPr>
              <w:t>项目生活垃圾的收集、暂存、处置须符合《中华人民共和国固体废物污染环境防治法》（主席令第</w:t>
            </w:r>
            <w:r>
              <w:rPr>
                <w:rFonts w:ascii="Times New Roman" w:hAnsi="Times New Roman" w:cs="Arial"/>
                <w:color w:val="000000" w:themeColor="text1"/>
                <w:sz w:val="24"/>
              </w:rPr>
              <w:t>43</w:t>
            </w:r>
            <w:r>
              <w:rPr>
                <w:rFonts w:hint="eastAsia" w:ascii="Times New Roman" w:hAnsi="Times New Roman" w:cs="Arial"/>
                <w:color w:val="000000" w:themeColor="text1"/>
                <w:sz w:val="24"/>
              </w:rPr>
              <w:t>号）及《城市生活垃圾管理办法》（建设部</w:t>
            </w:r>
            <w:r>
              <w:rPr>
                <w:rFonts w:ascii="Times New Roman" w:hAnsi="Times New Roman" w:cs="Arial"/>
                <w:color w:val="000000" w:themeColor="text1"/>
                <w:sz w:val="24"/>
              </w:rPr>
              <w:t>2007</w:t>
            </w:r>
            <w:r>
              <w:rPr>
                <w:rFonts w:hint="eastAsia" w:ascii="Times New Roman" w:hAnsi="Times New Roman" w:cs="Arial"/>
                <w:color w:val="000000" w:themeColor="text1"/>
                <w:sz w:val="24"/>
              </w:rPr>
              <w:t>年第</w:t>
            </w:r>
            <w:r>
              <w:rPr>
                <w:rFonts w:ascii="Times New Roman" w:hAnsi="Times New Roman" w:cs="Arial"/>
                <w:color w:val="000000" w:themeColor="text1"/>
                <w:sz w:val="24"/>
              </w:rPr>
              <w:t>157</w:t>
            </w:r>
            <w:r>
              <w:rPr>
                <w:rFonts w:hint="eastAsia" w:ascii="Times New Roman" w:hAnsi="Times New Roman" w:cs="Arial"/>
                <w:color w:val="000000" w:themeColor="text1"/>
                <w:sz w:val="24"/>
              </w:rPr>
              <w:t>号令）中的规定。</w:t>
            </w:r>
          </w:p>
          <w:p>
            <w:pPr>
              <w:tabs>
                <w:tab w:val="left" w:pos="567"/>
              </w:tabs>
              <w:rPr>
                <w:rFonts w:ascii="Times New Roman" w:hAnsi="Times New Roman" w:cs="Arial"/>
                <w:color w:val="000000" w:themeColor="text1"/>
                <w:szCs w:val="28"/>
              </w:rPr>
            </w:pPr>
          </w:p>
        </w:tc>
      </w:tr>
    </w:tbl>
    <w:p>
      <w:pPr>
        <w:sectPr>
          <w:pgSz w:w="11906" w:h="16838"/>
          <w:pgMar w:top="1440" w:right="1800" w:bottom="1440" w:left="1800" w:header="851" w:footer="992" w:gutter="0"/>
          <w:cols w:space="425" w:num="1"/>
          <w:docGrid w:type="lines" w:linePitch="312" w:charSpace="0"/>
        </w:sectPr>
      </w:pPr>
    </w:p>
    <w:p>
      <w:pPr>
        <w:pStyle w:val="3"/>
        <w:rPr>
          <w:rFonts w:ascii="Arial" w:hAnsi="Arial" w:cs="Arial"/>
        </w:rPr>
      </w:pPr>
      <w:bookmarkStart w:id="1" w:name="_Toc12360"/>
      <w:r>
        <w:rPr>
          <w:rFonts w:hint="eastAsia" w:ascii="Arial" w:hAnsi="Arial" w:cs="Arial"/>
        </w:rPr>
        <w:t>表二工程建设内容</w:t>
      </w:r>
      <w:bookmarkEnd w:id="1"/>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Borders>
              <w:top w:val="single" w:color="auto" w:sz="4" w:space="0"/>
              <w:left w:val="single" w:color="auto" w:sz="4" w:space="0"/>
              <w:bottom w:val="single" w:color="auto" w:sz="4" w:space="0"/>
              <w:right w:val="single" w:color="auto" w:sz="4" w:space="0"/>
            </w:tcBorders>
          </w:tcPr>
          <w:p>
            <w:pPr>
              <w:spacing w:line="360" w:lineRule="auto"/>
              <w:ind w:firstLine="482" w:firstLineChars="200"/>
              <w:rPr>
                <w:rFonts w:ascii="Times New Roman" w:hAnsi="Times New Roman"/>
                <w:b/>
                <w:bCs/>
                <w:kern w:val="0"/>
                <w:sz w:val="24"/>
              </w:rPr>
            </w:pPr>
            <w:r>
              <w:rPr>
                <w:rFonts w:ascii="Times New Roman" w:hAnsi="Times New Roman"/>
                <w:b/>
                <w:bCs/>
                <w:kern w:val="0"/>
                <w:sz w:val="24"/>
              </w:rPr>
              <w:t>2.1</w:t>
            </w:r>
            <w:r>
              <w:rPr>
                <w:rFonts w:ascii="Times New Roman" w:hAnsi="Arial"/>
                <w:b/>
                <w:bCs/>
                <w:kern w:val="0"/>
                <w:sz w:val="24"/>
              </w:rPr>
              <w:t>地理位置</w:t>
            </w:r>
          </w:p>
          <w:p>
            <w:pPr>
              <w:spacing w:line="360" w:lineRule="auto"/>
              <w:ind w:firstLine="480" w:firstLineChars="200"/>
              <w:rPr>
                <w:rFonts w:ascii="Times New Roman" w:hAnsi="Times New Roman"/>
                <w:kern w:val="0"/>
                <w:sz w:val="24"/>
              </w:rPr>
            </w:pPr>
            <w:r>
              <w:rPr>
                <w:rFonts w:hint="eastAsia" w:ascii="Times New Roman" w:hAnsi="Arial"/>
                <w:kern w:val="0"/>
                <w:sz w:val="24"/>
              </w:rPr>
              <w:t>临平</w:t>
            </w:r>
            <w:r>
              <w:rPr>
                <w:rFonts w:ascii="Times New Roman" w:hAnsi="Arial"/>
                <w:kern w:val="0"/>
                <w:sz w:val="24"/>
              </w:rPr>
              <w:t>区，隶属于浙江省杭州市，</w:t>
            </w:r>
            <w:r>
              <w:rPr>
                <w:rFonts w:hint="eastAsia" w:ascii="Times New Roman" w:hAnsi="Arial"/>
                <w:kern w:val="0"/>
                <w:sz w:val="24"/>
              </w:rPr>
              <w:t>位于长三角都市群南翼、杭州市东北部，北接湖州市德清县、南濒钱塘江、西至京杭运河、东依嘉兴市海宁市，区域面积286平方千米。</w:t>
            </w:r>
            <w:r>
              <w:rPr>
                <w:rFonts w:ascii="Times New Roman" w:hAnsi="Arial"/>
                <w:kern w:val="0"/>
                <w:sz w:val="24"/>
              </w:rPr>
              <w:t>临平区历史悠久、人文荟萃，是典型的江南水乡、鱼米之乡，先后获得2018—2020年健康浙江建设先进区等荣誉称号。</w:t>
            </w:r>
          </w:p>
          <w:p>
            <w:pPr>
              <w:spacing w:line="360" w:lineRule="auto"/>
              <w:ind w:firstLine="480" w:firstLineChars="200"/>
              <w:rPr>
                <w:rFonts w:ascii="Times New Roman" w:hAnsi="Arial"/>
                <w:kern w:val="0"/>
                <w:sz w:val="24"/>
              </w:rPr>
            </w:pPr>
            <w:r>
              <w:rPr>
                <w:rFonts w:ascii="Times New Roman" w:hAnsi="Arial"/>
                <w:kern w:val="0"/>
                <w:sz w:val="24"/>
              </w:rPr>
              <w:t>本项目位于杭州市</w:t>
            </w:r>
            <w:r>
              <w:rPr>
                <w:rFonts w:hint="eastAsia" w:ascii="Times New Roman" w:hAnsi="Arial"/>
                <w:kern w:val="0"/>
                <w:sz w:val="24"/>
              </w:rPr>
              <w:t>临平</w:t>
            </w:r>
            <w:r>
              <w:rPr>
                <w:rFonts w:ascii="Times New Roman" w:hAnsi="Arial"/>
                <w:kern w:val="0"/>
                <w:sz w:val="24"/>
              </w:rPr>
              <w:t>区</w:t>
            </w:r>
            <w:r>
              <w:rPr>
                <w:rFonts w:hint="eastAsia" w:ascii="Times New Roman" w:hAnsi="Arial"/>
                <w:kern w:val="0"/>
                <w:sz w:val="24"/>
              </w:rPr>
              <w:t>临丁路66号</w:t>
            </w:r>
            <w:r>
              <w:rPr>
                <w:rFonts w:hint="eastAsia" w:ascii="Times New Roman" w:hAnsi="Arial"/>
                <w:color w:val="FF0000"/>
                <w:kern w:val="0"/>
                <w:sz w:val="24"/>
                <w:highlight w:val="none"/>
              </w:rPr>
              <w:t>（即环评及环评批复中地址：</w:t>
            </w:r>
            <w:r>
              <w:rPr>
                <w:rFonts w:ascii="Times New Roman" w:hAnsi="Times New Roman"/>
                <w:color w:val="FF0000"/>
                <w:kern w:val="0"/>
                <w:sz w:val="24"/>
                <w:highlight w:val="none"/>
              </w:rPr>
              <w:t>杭州市临平区星桥街道星桥社区、贾家社区</w:t>
            </w:r>
            <w:r>
              <w:rPr>
                <w:rFonts w:hint="eastAsia" w:ascii="Times New Roman" w:hAnsi="Arial"/>
                <w:color w:val="FF0000"/>
                <w:kern w:val="0"/>
                <w:sz w:val="24"/>
                <w:highlight w:val="none"/>
              </w:rPr>
              <w:t>）</w:t>
            </w:r>
            <w:r>
              <w:rPr>
                <w:rFonts w:ascii="Times New Roman" w:hAnsi="Arial"/>
                <w:kern w:val="0"/>
                <w:sz w:val="24"/>
              </w:rPr>
              <w:t>，</w:t>
            </w:r>
            <w:r>
              <w:rPr>
                <w:rFonts w:hint="eastAsia" w:ascii="Times New Roman" w:hAnsi="Arial"/>
                <w:kern w:val="0"/>
                <w:sz w:val="24"/>
              </w:rPr>
              <w:t>所在地块东南至临丁路，西南至天华路，西北至天韵路，东北至星乐小区二区。地块</w:t>
            </w:r>
            <w:r>
              <w:rPr>
                <w:rFonts w:ascii="Times New Roman" w:hAnsi="Arial"/>
                <w:kern w:val="0"/>
                <w:sz w:val="24"/>
              </w:rPr>
              <w:t>东面相邻为</w:t>
            </w:r>
            <w:r>
              <w:rPr>
                <w:rFonts w:hint="eastAsia" w:ascii="Times New Roman" w:hAnsi="Arial"/>
                <w:kern w:val="0"/>
                <w:sz w:val="24"/>
              </w:rPr>
              <w:t>临丁路，隔路为桐鹤名苑小区</w:t>
            </w:r>
            <w:r>
              <w:rPr>
                <w:rFonts w:ascii="Times New Roman" w:hAnsi="Arial"/>
                <w:kern w:val="0"/>
                <w:sz w:val="24"/>
              </w:rPr>
              <w:t>；南面</w:t>
            </w:r>
            <w:r>
              <w:rPr>
                <w:rFonts w:hint="eastAsia" w:ascii="Times New Roman" w:hAnsi="Arial"/>
                <w:kern w:val="0"/>
                <w:sz w:val="24"/>
              </w:rPr>
              <w:t>相邻为天华路，隔路为杭州临平汽车驾驶员培训中心</w:t>
            </w:r>
            <w:r>
              <w:rPr>
                <w:rFonts w:ascii="Times New Roman" w:hAnsi="Arial"/>
                <w:kern w:val="0"/>
                <w:sz w:val="24"/>
              </w:rPr>
              <w:t>、</w:t>
            </w:r>
            <w:r>
              <w:rPr>
                <w:rFonts w:ascii="Times New Roman" w:hAnsi="Arial"/>
                <w:color w:val="000000" w:themeColor="text1"/>
                <w:kern w:val="0"/>
                <w:sz w:val="24"/>
              </w:rPr>
              <w:t>空地（规划</w:t>
            </w:r>
            <w:r>
              <w:rPr>
                <w:rFonts w:hint="eastAsia" w:ascii="Times New Roman" w:hAnsi="Arial"/>
                <w:color w:val="000000" w:themeColor="text1"/>
                <w:kern w:val="0"/>
                <w:sz w:val="24"/>
              </w:rPr>
              <w:t>为发展备用</w:t>
            </w:r>
            <w:r>
              <w:rPr>
                <w:rFonts w:ascii="Times New Roman" w:hAnsi="Arial"/>
                <w:color w:val="000000" w:themeColor="text1"/>
                <w:kern w:val="0"/>
                <w:sz w:val="24"/>
              </w:rPr>
              <w:t>地）</w:t>
            </w:r>
            <w:r>
              <w:rPr>
                <w:rFonts w:ascii="Times New Roman" w:hAnsi="宋体"/>
                <w:kern w:val="0"/>
                <w:sz w:val="24"/>
              </w:rPr>
              <w:t>；西面</w:t>
            </w:r>
            <w:r>
              <w:rPr>
                <w:rFonts w:hint="eastAsia" w:ascii="Times New Roman" w:hAnsi="宋体"/>
                <w:kern w:val="0"/>
                <w:sz w:val="24"/>
              </w:rPr>
              <w:t>相邻为留月街，隔街为空地（规划防护绿地、供电用地、商业用地兼容商务用地、商住用地）</w:t>
            </w:r>
            <w:r>
              <w:rPr>
                <w:rFonts w:ascii="Times New Roman" w:hAnsi="宋体"/>
                <w:kern w:val="0"/>
                <w:sz w:val="24"/>
              </w:rPr>
              <w:t>，北面</w:t>
            </w:r>
            <w:r>
              <w:rPr>
                <w:rFonts w:hint="eastAsia" w:ascii="Times New Roman" w:hAnsi="宋体"/>
                <w:kern w:val="0"/>
                <w:sz w:val="24"/>
              </w:rPr>
              <w:t>紧邻星乐小区二区</w:t>
            </w:r>
            <w:r>
              <w:rPr>
                <w:rFonts w:ascii="Times New Roman" w:hAnsi="宋体"/>
                <w:kern w:val="0"/>
                <w:sz w:val="24"/>
              </w:rPr>
              <w:t>。</w:t>
            </w:r>
          </w:p>
          <w:p>
            <w:pPr>
              <w:spacing w:line="360" w:lineRule="auto"/>
              <w:ind w:firstLine="480" w:firstLineChars="200"/>
              <w:rPr>
                <w:rFonts w:ascii="Times New Roman" w:hAnsi="Times New Roman"/>
                <w:kern w:val="0"/>
                <w:sz w:val="24"/>
              </w:rPr>
            </w:pPr>
            <w:r>
              <w:rPr>
                <w:rFonts w:ascii="Times New Roman" w:hAnsi="Arial"/>
                <w:kern w:val="0"/>
                <w:sz w:val="24"/>
              </w:rPr>
              <w:t>本项目地理位置见</w:t>
            </w:r>
            <w:r>
              <w:rPr>
                <w:rFonts w:ascii="Times New Roman" w:hAnsi="Arial"/>
                <w:b/>
                <w:bCs/>
                <w:kern w:val="0"/>
                <w:sz w:val="24"/>
              </w:rPr>
              <w:t>附图</w:t>
            </w:r>
            <w:r>
              <w:rPr>
                <w:rFonts w:ascii="Times New Roman" w:hAnsi="Times New Roman"/>
                <w:b/>
                <w:bCs/>
                <w:kern w:val="0"/>
                <w:sz w:val="24"/>
              </w:rPr>
              <w:t>1</w:t>
            </w:r>
            <w:r>
              <w:rPr>
                <w:rFonts w:ascii="Times New Roman" w:hAnsi="Arial"/>
                <w:kern w:val="0"/>
                <w:sz w:val="24"/>
              </w:rPr>
              <w:t>。</w:t>
            </w:r>
          </w:p>
          <w:p>
            <w:pPr>
              <w:spacing w:line="360" w:lineRule="auto"/>
              <w:ind w:firstLine="480" w:firstLineChars="200"/>
              <w:rPr>
                <w:rFonts w:ascii="Times New Roman" w:hAnsi="Times New Roman"/>
                <w:kern w:val="0"/>
                <w:sz w:val="24"/>
              </w:rPr>
            </w:pPr>
            <w:r>
              <w:rPr>
                <w:rFonts w:ascii="Times New Roman" w:hAnsi="Arial"/>
                <w:kern w:val="0"/>
                <w:sz w:val="24"/>
              </w:rPr>
              <w:t>本项目周边</w:t>
            </w:r>
            <w:r>
              <w:rPr>
                <w:rFonts w:hint="eastAsia" w:ascii="Times New Roman" w:hAnsi="Arial"/>
                <w:kern w:val="0"/>
                <w:sz w:val="24"/>
              </w:rPr>
              <w:t>500m范围内</w:t>
            </w:r>
            <w:r>
              <w:rPr>
                <w:rFonts w:ascii="Times New Roman" w:hAnsi="Arial"/>
                <w:kern w:val="0"/>
                <w:sz w:val="24"/>
              </w:rPr>
              <w:t>主要</w:t>
            </w:r>
            <w:r>
              <w:rPr>
                <w:rFonts w:hint="eastAsia" w:ascii="Times New Roman" w:hAnsi="Arial"/>
                <w:kern w:val="0"/>
                <w:sz w:val="24"/>
              </w:rPr>
              <w:t>大气</w:t>
            </w:r>
            <w:r>
              <w:rPr>
                <w:rFonts w:ascii="Times New Roman" w:hAnsi="Arial"/>
                <w:kern w:val="0"/>
                <w:sz w:val="24"/>
              </w:rPr>
              <w:t>环境保护目标为</w:t>
            </w:r>
            <w:r>
              <w:rPr>
                <w:rFonts w:hint="eastAsia" w:ascii="Times New Roman" w:hAnsi="Arial"/>
                <w:kern w:val="0"/>
                <w:sz w:val="24"/>
              </w:rPr>
              <w:t>星乐小区、安乐新苑、桐鹤名苑小区、广厦天都城</w:t>
            </w:r>
            <w:r>
              <w:rPr>
                <w:rFonts w:ascii="Times New Roman" w:hAnsi="Arial"/>
                <w:kern w:val="0"/>
                <w:sz w:val="24"/>
              </w:rPr>
              <w:t>等，分布情况见表</w:t>
            </w:r>
            <w:r>
              <w:rPr>
                <w:rFonts w:ascii="Times New Roman" w:hAnsi="Times New Roman"/>
                <w:kern w:val="0"/>
                <w:sz w:val="24"/>
              </w:rPr>
              <w:t>2-1</w:t>
            </w:r>
            <w:r>
              <w:rPr>
                <w:rFonts w:ascii="Times New Roman" w:hAnsi="Arial"/>
                <w:kern w:val="0"/>
                <w:sz w:val="24"/>
              </w:rPr>
              <w:t>和</w:t>
            </w:r>
            <w:r>
              <w:rPr>
                <w:rFonts w:ascii="Times New Roman" w:hAnsi="Arial"/>
                <w:b/>
                <w:bCs/>
                <w:kern w:val="0"/>
                <w:sz w:val="24"/>
              </w:rPr>
              <w:t>附图</w:t>
            </w:r>
            <w:r>
              <w:rPr>
                <w:rFonts w:ascii="Times New Roman" w:hAnsi="Times New Roman"/>
                <w:b/>
                <w:bCs/>
                <w:kern w:val="0"/>
                <w:sz w:val="24"/>
              </w:rPr>
              <w:t>2</w:t>
            </w:r>
            <w:r>
              <w:rPr>
                <w:rFonts w:ascii="Times New Roman" w:hAnsi="Arial"/>
                <w:kern w:val="0"/>
                <w:sz w:val="24"/>
              </w:rPr>
              <w:t>。</w:t>
            </w:r>
          </w:p>
          <w:p>
            <w:pPr>
              <w:spacing w:line="360" w:lineRule="auto"/>
              <w:ind w:firstLine="482" w:firstLineChars="200"/>
              <w:rPr>
                <w:rFonts w:ascii="Times New Roman" w:hAnsi="Times New Roman"/>
                <w:kern w:val="0"/>
                <w:sz w:val="20"/>
                <w:szCs w:val="21"/>
              </w:rPr>
            </w:pPr>
            <w:r>
              <w:rPr>
                <w:rFonts w:ascii="Times New Roman" w:hAnsi="Arial"/>
                <w:b/>
                <w:bCs/>
                <w:kern w:val="0"/>
                <w:sz w:val="24"/>
              </w:rPr>
              <w:t>本项目建设地点与原环评一致，</w:t>
            </w:r>
            <w:r>
              <w:rPr>
                <w:rFonts w:ascii="Times New Roman" w:hAnsi="Arial"/>
                <w:kern w:val="0"/>
                <w:sz w:val="24"/>
              </w:rPr>
              <w:t>周边主要环境保护目标对比见表</w:t>
            </w:r>
            <w:r>
              <w:rPr>
                <w:rFonts w:ascii="Times New Roman" w:hAnsi="Times New Roman"/>
                <w:kern w:val="0"/>
                <w:sz w:val="24"/>
              </w:rPr>
              <w:t>2-1</w:t>
            </w:r>
            <w:r>
              <w:rPr>
                <w:rFonts w:ascii="Times New Roman" w:hAnsi="Arial"/>
                <w:kern w:val="0"/>
                <w:sz w:val="24"/>
              </w:rPr>
              <w:t>、表</w:t>
            </w:r>
            <w:r>
              <w:rPr>
                <w:rFonts w:ascii="Times New Roman" w:hAnsi="Times New Roman"/>
                <w:kern w:val="0"/>
                <w:sz w:val="24"/>
              </w:rPr>
              <w:t>2-2</w:t>
            </w:r>
            <w:r>
              <w:rPr>
                <w:rFonts w:ascii="Times New Roman" w:hAnsi="Arial"/>
                <w:kern w:val="0"/>
                <w:sz w:val="24"/>
              </w:rPr>
              <w:t>。</w:t>
            </w:r>
          </w:p>
          <w:p>
            <w:pPr>
              <w:pStyle w:val="13"/>
              <w:spacing w:beforeLines="20" w:line="288" w:lineRule="auto"/>
              <w:jc w:val="center"/>
              <w:rPr>
                <w:rFonts w:ascii="Times New Roman" w:hAnsi="Times New Roman"/>
                <w:b/>
                <w:bCs/>
                <w:kern w:val="0"/>
                <w:sz w:val="20"/>
                <w:szCs w:val="21"/>
              </w:rPr>
            </w:pPr>
            <w:r>
              <w:rPr>
                <w:rFonts w:ascii="Times New Roman" w:hAnsi="Arial"/>
                <w:b/>
                <w:bCs/>
                <w:kern w:val="0"/>
                <w:sz w:val="20"/>
                <w:szCs w:val="21"/>
              </w:rPr>
              <w:t>表</w:t>
            </w:r>
            <w:r>
              <w:rPr>
                <w:rFonts w:ascii="Times New Roman" w:hAnsi="Times New Roman"/>
                <w:b/>
                <w:bCs/>
                <w:kern w:val="0"/>
                <w:sz w:val="20"/>
                <w:szCs w:val="21"/>
              </w:rPr>
              <w:t>2-1</w:t>
            </w:r>
            <w:r>
              <w:rPr>
                <w:rFonts w:ascii="Times New Roman" w:hAnsi="Arial"/>
                <w:b/>
                <w:bCs/>
                <w:kern w:val="0"/>
                <w:sz w:val="20"/>
                <w:szCs w:val="21"/>
              </w:rPr>
              <w:t>大气环境保护目标一览表</w:t>
            </w:r>
          </w:p>
          <w:tbl>
            <w:tblPr>
              <w:tblStyle w:val="34"/>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039"/>
              <w:gridCol w:w="696"/>
              <w:gridCol w:w="740"/>
              <w:gridCol w:w="1207"/>
              <w:gridCol w:w="496"/>
              <w:gridCol w:w="896"/>
              <w:gridCol w:w="459"/>
              <w:gridCol w:w="773"/>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序号</w:t>
                  </w:r>
                </w:p>
              </w:tc>
              <w:tc>
                <w:tcPr>
                  <w:tcW w:w="634"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保护对象</w:t>
                  </w:r>
                </w:p>
              </w:tc>
              <w:tc>
                <w:tcPr>
                  <w:tcW w:w="425"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保护内容</w:t>
                  </w:r>
                </w:p>
              </w:tc>
              <w:tc>
                <w:tcPr>
                  <w:tcW w:w="452"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规模</w:t>
                  </w:r>
                </w:p>
              </w:tc>
              <w:tc>
                <w:tcPr>
                  <w:tcW w:w="737"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环境功能区</w:t>
                  </w:r>
                </w:p>
              </w:tc>
              <w:tc>
                <w:tcPr>
                  <w:tcW w:w="850" w:type="pct"/>
                  <w:gridSpan w:val="2"/>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环评期间</w:t>
                  </w:r>
                </w:p>
              </w:tc>
              <w:tc>
                <w:tcPr>
                  <w:tcW w:w="752" w:type="pct"/>
                  <w:gridSpan w:val="2"/>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现状调查</w:t>
                  </w:r>
                </w:p>
              </w:tc>
              <w:tc>
                <w:tcPr>
                  <w:tcW w:w="880"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0"/>
                      <w:szCs w:val="21"/>
                    </w:rPr>
                  </w:pPr>
                </w:p>
              </w:tc>
              <w:tc>
                <w:tcPr>
                  <w:tcW w:w="73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方位</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最近距离</w:t>
                  </w:r>
                </w:p>
              </w:tc>
              <w:tc>
                <w:tcPr>
                  <w:tcW w:w="2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方位</w:t>
                  </w:r>
                </w:p>
              </w:tc>
              <w:tc>
                <w:tcPr>
                  <w:tcW w:w="47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最近距离</w:t>
                  </w:r>
                </w:p>
              </w:tc>
              <w:tc>
                <w:tcPr>
                  <w:tcW w:w="88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1</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桐鹤名苑一区</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居住区</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1600</w:t>
                  </w:r>
                  <w:r>
                    <w:rPr>
                      <w:rFonts w:ascii="Times New Roman" w:hAnsi="Arial"/>
                      <w:kern w:val="0"/>
                      <w:sz w:val="20"/>
                      <w:szCs w:val="21"/>
                    </w:rPr>
                    <w:t>户</w:t>
                  </w:r>
                </w:p>
              </w:tc>
              <w:tc>
                <w:tcPr>
                  <w:tcW w:w="737" w:type="pct"/>
                  <w:vMerge w:val="restart"/>
                  <w:tcBorders>
                    <w:top w:val="single" w:color="auto" w:sz="4" w:space="0"/>
                    <w:left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GB 3095-2012</w:t>
                  </w:r>
                  <w:r>
                    <w:rPr>
                      <w:rFonts w:ascii="Times New Roman" w:hAnsi="Arial"/>
                      <w:kern w:val="0"/>
                      <w:sz w:val="20"/>
                      <w:szCs w:val="21"/>
                    </w:rPr>
                    <w:t>大气环境二级</w:t>
                  </w:r>
                </w:p>
                <w:p>
                  <w:pPr>
                    <w:ind w:left="-105" w:leftChars="-50" w:right="-105" w:rightChars="-50"/>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东北</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160m</w:t>
                  </w:r>
                </w:p>
              </w:tc>
              <w:tc>
                <w:tcPr>
                  <w:tcW w:w="2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highlight w:val="yellow"/>
                    </w:rPr>
                  </w:pPr>
                  <w:r>
                    <w:rPr>
                      <w:rFonts w:ascii="Times New Roman" w:hAnsi="Arial"/>
                      <w:kern w:val="0"/>
                      <w:sz w:val="20"/>
                      <w:szCs w:val="21"/>
                    </w:rPr>
                    <w:t>东北</w:t>
                  </w:r>
                </w:p>
              </w:tc>
              <w:tc>
                <w:tcPr>
                  <w:tcW w:w="47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highlight w:val="yellow"/>
                    </w:rPr>
                  </w:pPr>
                  <w:r>
                    <w:rPr>
                      <w:rFonts w:ascii="Times New Roman" w:hAnsi="Arial"/>
                      <w:kern w:val="0"/>
                      <w:sz w:val="20"/>
                      <w:szCs w:val="21"/>
                    </w:rPr>
                    <w:t>约</w:t>
                  </w:r>
                  <w:r>
                    <w:rPr>
                      <w:rFonts w:hint="eastAsia" w:ascii="Times New Roman" w:hAnsi="Times New Roman"/>
                      <w:kern w:val="0"/>
                      <w:sz w:val="20"/>
                      <w:szCs w:val="21"/>
                    </w:rPr>
                    <w:t>330</w:t>
                  </w:r>
                  <w:r>
                    <w:rPr>
                      <w:rFonts w:ascii="Times New Roman" w:hAnsi="Times New Roman"/>
                      <w:kern w:val="0"/>
                      <w:sz w:val="20"/>
                      <w:szCs w:val="21"/>
                    </w:rPr>
                    <w:t>m</w:t>
                  </w:r>
                </w:p>
              </w:tc>
              <w:tc>
                <w:tcPr>
                  <w:tcW w:w="8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highlight w:val="yellow"/>
                    </w:rPr>
                  </w:pPr>
                  <w:r>
                    <w:rPr>
                      <w:rFonts w:ascii="Times New Roman" w:hAnsi="Arial"/>
                      <w:kern w:val="0"/>
                      <w:sz w:val="20"/>
                      <w:szCs w:val="21"/>
                    </w:rPr>
                    <w:t>已建成，</w:t>
                  </w:r>
                  <w:r>
                    <w:rPr>
                      <w:rFonts w:hint="eastAsia" w:ascii="Times New Roman" w:hAnsi="Arial"/>
                      <w:kern w:val="0"/>
                      <w:sz w:val="20"/>
                      <w:szCs w:val="21"/>
                    </w:rPr>
                    <w:t>小区外围设防护绿地，因此距离较远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2</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万乐村</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居住区</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300</w:t>
                  </w:r>
                  <w:r>
                    <w:rPr>
                      <w:rFonts w:ascii="Times New Roman" w:hAnsi="Arial"/>
                      <w:kern w:val="0"/>
                      <w:sz w:val="20"/>
                      <w:szCs w:val="21"/>
                    </w:rPr>
                    <w:t>户</w:t>
                  </w:r>
                </w:p>
              </w:tc>
              <w:tc>
                <w:tcPr>
                  <w:tcW w:w="737" w:type="pct"/>
                  <w:vMerge w:val="continue"/>
                  <w:tcBorders>
                    <w:left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西南</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300m</w:t>
                  </w:r>
                </w:p>
              </w:tc>
              <w:tc>
                <w:tcPr>
                  <w:tcW w:w="2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南</w:t>
                  </w:r>
                </w:p>
              </w:tc>
              <w:tc>
                <w:tcPr>
                  <w:tcW w:w="47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hint="eastAsia" w:ascii="Times New Roman" w:hAnsi="Times New Roman"/>
                      <w:kern w:val="0"/>
                      <w:sz w:val="20"/>
                      <w:szCs w:val="21"/>
                    </w:rPr>
                    <w:t>100</w:t>
                  </w:r>
                  <w:r>
                    <w:rPr>
                      <w:rFonts w:ascii="Times New Roman" w:hAnsi="Times New Roman"/>
                      <w:kern w:val="0"/>
                      <w:sz w:val="20"/>
                      <w:szCs w:val="21"/>
                    </w:rPr>
                    <w:t>m</w:t>
                  </w:r>
                </w:p>
              </w:tc>
              <w:tc>
                <w:tcPr>
                  <w:tcW w:w="8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highlight w:val="yellow"/>
                    </w:rPr>
                  </w:pPr>
                  <w:r>
                    <w:rPr>
                      <w:rFonts w:ascii="Times New Roman" w:hAnsi="Arial"/>
                      <w:kern w:val="0"/>
                      <w:sz w:val="20"/>
                      <w:szCs w:val="21"/>
                    </w:rPr>
                    <w:t>与环评基本一致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3</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广厦天都城</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居住区</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3000</w:t>
                  </w:r>
                  <w:r>
                    <w:rPr>
                      <w:rFonts w:ascii="Times New Roman" w:hAnsi="Arial"/>
                      <w:kern w:val="0"/>
                      <w:sz w:val="20"/>
                      <w:szCs w:val="21"/>
                    </w:rPr>
                    <w:t>户</w:t>
                  </w:r>
                </w:p>
              </w:tc>
              <w:tc>
                <w:tcPr>
                  <w:tcW w:w="737" w:type="pct"/>
                  <w:vMerge w:val="continue"/>
                  <w:tcBorders>
                    <w:left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西</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150m</w:t>
                  </w:r>
                </w:p>
              </w:tc>
              <w:tc>
                <w:tcPr>
                  <w:tcW w:w="2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西</w:t>
                  </w:r>
                </w:p>
              </w:tc>
              <w:tc>
                <w:tcPr>
                  <w:tcW w:w="47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170m</w:t>
                  </w:r>
                </w:p>
              </w:tc>
              <w:tc>
                <w:tcPr>
                  <w:tcW w:w="8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highlight w:val="yellow"/>
                    </w:rPr>
                  </w:pPr>
                  <w:r>
                    <w:rPr>
                      <w:rFonts w:ascii="Times New Roman" w:hAnsi="Arial"/>
                      <w:kern w:val="0"/>
                      <w:sz w:val="20"/>
                      <w:szCs w:val="21"/>
                    </w:rPr>
                    <w:t>与环评基本一致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4</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星乐小区二区</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居住区</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500</w:t>
                  </w:r>
                  <w:r>
                    <w:rPr>
                      <w:rFonts w:ascii="Times New Roman" w:hAnsi="Arial"/>
                      <w:kern w:val="0"/>
                      <w:sz w:val="20"/>
                      <w:szCs w:val="21"/>
                    </w:rPr>
                    <w:t>户</w:t>
                  </w:r>
                </w:p>
              </w:tc>
              <w:tc>
                <w:tcPr>
                  <w:tcW w:w="737" w:type="pct"/>
                  <w:vMerge w:val="continue"/>
                  <w:tcBorders>
                    <w:left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东北</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5m</w:t>
                  </w:r>
                </w:p>
              </w:tc>
              <w:tc>
                <w:tcPr>
                  <w:tcW w:w="2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东北</w:t>
                  </w:r>
                </w:p>
              </w:tc>
              <w:tc>
                <w:tcPr>
                  <w:tcW w:w="47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5m</w:t>
                  </w:r>
                </w:p>
              </w:tc>
              <w:tc>
                <w:tcPr>
                  <w:tcW w:w="8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highlight w:val="yellow"/>
                    </w:rPr>
                  </w:pPr>
                  <w:r>
                    <w:rPr>
                      <w:rFonts w:ascii="Times New Roman" w:hAnsi="Arial"/>
                      <w:kern w:val="0"/>
                      <w:sz w:val="20"/>
                      <w:szCs w:val="21"/>
                    </w:rPr>
                    <w:t>与环评基本一致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5</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星乐小区一区</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居住区</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600</w:t>
                  </w:r>
                  <w:r>
                    <w:rPr>
                      <w:rFonts w:ascii="Times New Roman" w:hAnsi="Arial"/>
                      <w:kern w:val="0"/>
                      <w:sz w:val="20"/>
                      <w:szCs w:val="21"/>
                    </w:rPr>
                    <w:t>户</w:t>
                  </w:r>
                </w:p>
              </w:tc>
              <w:tc>
                <w:tcPr>
                  <w:tcW w:w="737" w:type="pct"/>
                  <w:vMerge w:val="continue"/>
                  <w:tcBorders>
                    <w:left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东北</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300m</w:t>
                  </w:r>
                </w:p>
              </w:tc>
              <w:tc>
                <w:tcPr>
                  <w:tcW w:w="2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东北</w:t>
                  </w:r>
                </w:p>
              </w:tc>
              <w:tc>
                <w:tcPr>
                  <w:tcW w:w="47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300m</w:t>
                  </w:r>
                </w:p>
              </w:tc>
              <w:tc>
                <w:tcPr>
                  <w:tcW w:w="8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highlight w:val="yellow"/>
                    </w:rPr>
                  </w:pPr>
                  <w:r>
                    <w:rPr>
                      <w:rFonts w:ascii="Times New Roman" w:hAnsi="Arial"/>
                      <w:kern w:val="0"/>
                      <w:sz w:val="20"/>
                      <w:szCs w:val="21"/>
                    </w:rPr>
                    <w:t>与环评基本一致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6</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桐鹤名苑二区</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居住区</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774</w:t>
                  </w:r>
                  <w:r>
                    <w:rPr>
                      <w:rFonts w:ascii="Times New Roman" w:hAnsi="Arial"/>
                      <w:kern w:val="0"/>
                      <w:sz w:val="20"/>
                      <w:szCs w:val="21"/>
                    </w:rPr>
                    <w:t>户</w:t>
                  </w:r>
                </w:p>
              </w:tc>
              <w:tc>
                <w:tcPr>
                  <w:tcW w:w="737" w:type="pct"/>
                  <w:vMerge w:val="continue"/>
                  <w:tcBorders>
                    <w:left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东南</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150m</w:t>
                  </w:r>
                </w:p>
              </w:tc>
              <w:tc>
                <w:tcPr>
                  <w:tcW w:w="2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东南</w:t>
                  </w:r>
                </w:p>
              </w:tc>
              <w:tc>
                <w:tcPr>
                  <w:tcW w:w="47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180m</w:t>
                  </w:r>
                </w:p>
              </w:tc>
              <w:tc>
                <w:tcPr>
                  <w:tcW w:w="88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已建成（原审批为规划二类住宅用地）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7</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规划商住综合用地</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w:t>
                  </w:r>
                </w:p>
              </w:tc>
              <w:tc>
                <w:tcPr>
                  <w:tcW w:w="737" w:type="pct"/>
                  <w:vMerge w:val="continue"/>
                  <w:tcBorders>
                    <w:left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西北</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24m</w:t>
                  </w:r>
                </w:p>
              </w:tc>
              <w:tc>
                <w:tcPr>
                  <w:tcW w:w="280"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西北</w:t>
                  </w:r>
                </w:p>
              </w:tc>
              <w:tc>
                <w:tcPr>
                  <w:tcW w:w="472"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约</w:t>
                  </w:r>
                  <w:r>
                    <w:rPr>
                      <w:b w:val="0"/>
                      <w:bCs w:val="0"/>
                      <w:sz w:val="21"/>
                      <w:szCs w:val="21"/>
                    </w:rPr>
                    <w:t>100m</w:t>
                  </w:r>
                </w:p>
              </w:tc>
              <w:tc>
                <w:tcPr>
                  <w:tcW w:w="880"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规划与原审批相比发生调整，现状为空地，未建设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8</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安乐新苑</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居住区</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140</w:t>
                  </w:r>
                  <w:r>
                    <w:rPr>
                      <w:rFonts w:ascii="Times New Roman" w:hAnsi="Arial"/>
                      <w:kern w:val="0"/>
                      <w:sz w:val="20"/>
                      <w:szCs w:val="21"/>
                    </w:rPr>
                    <w:t>户</w:t>
                  </w:r>
                </w:p>
              </w:tc>
              <w:tc>
                <w:tcPr>
                  <w:tcW w:w="737" w:type="pct"/>
                  <w:vMerge w:val="continue"/>
                  <w:tcBorders>
                    <w:left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w:t>
                  </w:r>
                </w:p>
              </w:tc>
              <w:tc>
                <w:tcPr>
                  <w:tcW w:w="280"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西北</w:t>
                  </w:r>
                </w:p>
              </w:tc>
              <w:tc>
                <w:tcPr>
                  <w:tcW w:w="472"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约</w:t>
                  </w:r>
                  <w:r>
                    <w:rPr>
                      <w:b w:val="0"/>
                      <w:bCs w:val="0"/>
                      <w:sz w:val="21"/>
                      <w:szCs w:val="21"/>
                    </w:rPr>
                    <w:t>70m</w:t>
                  </w:r>
                </w:p>
              </w:tc>
              <w:tc>
                <w:tcPr>
                  <w:tcW w:w="880"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新建设居住区，原审批时规划为</w:t>
                  </w:r>
                  <w:r>
                    <w:rPr>
                      <w:rFonts w:hAnsi="Arial"/>
                      <w:b w:val="0"/>
                      <w:sz w:val="21"/>
                      <w:szCs w:val="21"/>
                    </w:rPr>
                    <w:t>商住综合用地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9</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临平区星桥第一小学</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文化教育</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约</w:t>
                  </w:r>
                  <w:r>
                    <w:rPr>
                      <w:rFonts w:ascii="Times New Roman" w:hAnsi="Times New Roman"/>
                      <w:kern w:val="0"/>
                      <w:sz w:val="20"/>
                      <w:szCs w:val="21"/>
                    </w:rPr>
                    <w:t>2000</w:t>
                  </w:r>
                  <w:r>
                    <w:rPr>
                      <w:rFonts w:ascii="Times New Roman" w:hAnsi="Arial"/>
                      <w:kern w:val="0"/>
                      <w:sz w:val="20"/>
                      <w:szCs w:val="21"/>
                    </w:rPr>
                    <w:t>人</w:t>
                  </w:r>
                </w:p>
              </w:tc>
              <w:tc>
                <w:tcPr>
                  <w:tcW w:w="737" w:type="pct"/>
                  <w:vMerge w:val="continue"/>
                  <w:tcBorders>
                    <w:left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w:t>
                  </w:r>
                </w:p>
              </w:tc>
              <w:tc>
                <w:tcPr>
                  <w:tcW w:w="280"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北</w:t>
                  </w:r>
                </w:p>
              </w:tc>
              <w:tc>
                <w:tcPr>
                  <w:tcW w:w="472"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约</w:t>
                  </w:r>
                  <w:r>
                    <w:rPr>
                      <w:b w:val="0"/>
                      <w:bCs w:val="0"/>
                      <w:sz w:val="21"/>
                      <w:szCs w:val="21"/>
                    </w:rPr>
                    <w:t>300m</w:t>
                  </w:r>
                </w:p>
              </w:tc>
              <w:tc>
                <w:tcPr>
                  <w:tcW w:w="880"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原审批时未建、未规划，现状已建成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0"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10</w:t>
                  </w:r>
                </w:p>
              </w:tc>
              <w:tc>
                <w:tcPr>
                  <w:tcW w:w="63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农林用地</w:t>
                  </w:r>
                </w:p>
              </w:tc>
              <w:tc>
                <w:tcPr>
                  <w:tcW w:w="42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Arial"/>
                      <w:kern w:val="0"/>
                      <w:sz w:val="20"/>
                      <w:szCs w:val="21"/>
                    </w:rPr>
                    <w:t>农林</w:t>
                  </w:r>
                </w:p>
              </w:tc>
              <w:tc>
                <w:tcPr>
                  <w:tcW w:w="452"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w:t>
                  </w:r>
                </w:p>
              </w:tc>
              <w:tc>
                <w:tcPr>
                  <w:tcW w:w="737" w:type="pct"/>
                  <w:vMerge w:val="continue"/>
                  <w:tcBorders>
                    <w:left w:val="single" w:color="auto" w:sz="4" w:space="0"/>
                    <w:right w:val="single" w:color="auto" w:sz="4" w:space="0"/>
                  </w:tcBorders>
                  <w:vAlign w:val="center"/>
                </w:tcPr>
                <w:p>
                  <w:pPr>
                    <w:jc w:val="center"/>
                    <w:rPr>
                      <w:rFonts w:ascii="Times New Roman" w:hAnsi="Times New Roman"/>
                      <w:kern w:val="0"/>
                      <w:sz w:val="20"/>
                      <w:szCs w:val="21"/>
                    </w:rPr>
                  </w:pPr>
                </w:p>
              </w:tc>
              <w:tc>
                <w:tcPr>
                  <w:tcW w:w="303"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w:t>
                  </w:r>
                </w:p>
              </w:tc>
              <w:tc>
                <w:tcPr>
                  <w:tcW w:w="547"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kern w:val="0"/>
                      <w:sz w:val="20"/>
                      <w:szCs w:val="21"/>
                    </w:rPr>
                  </w:pPr>
                  <w:r>
                    <w:rPr>
                      <w:rFonts w:ascii="Times New Roman" w:hAnsi="Times New Roman"/>
                      <w:kern w:val="0"/>
                      <w:sz w:val="20"/>
                      <w:szCs w:val="21"/>
                    </w:rPr>
                    <w:t>--</w:t>
                  </w:r>
                </w:p>
              </w:tc>
              <w:tc>
                <w:tcPr>
                  <w:tcW w:w="280"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西南</w:t>
                  </w:r>
                </w:p>
              </w:tc>
              <w:tc>
                <w:tcPr>
                  <w:tcW w:w="472"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约</w:t>
                  </w:r>
                  <w:r>
                    <w:rPr>
                      <w:b w:val="0"/>
                      <w:bCs w:val="0"/>
                      <w:sz w:val="21"/>
                      <w:szCs w:val="21"/>
                    </w:rPr>
                    <w:t>280m</w:t>
                  </w:r>
                </w:p>
              </w:tc>
              <w:tc>
                <w:tcPr>
                  <w:tcW w:w="880" w:type="pct"/>
                  <w:tcBorders>
                    <w:top w:val="single" w:color="auto" w:sz="4" w:space="0"/>
                    <w:left w:val="single" w:color="auto" w:sz="4" w:space="0"/>
                    <w:bottom w:val="single" w:color="auto" w:sz="4" w:space="0"/>
                    <w:right w:val="single" w:color="auto" w:sz="4" w:space="0"/>
                  </w:tcBorders>
                  <w:vAlign w:val="center"/>
                </w:tcPr>
                <w:p>
                  <w:pPr>
                    <w:pStyle w:val="5"/>
                    <w:adjustRightInd w:val="0"/>
                    <w:snapToGrid w:val="0"/>
                    <w:spacing w:line="240" w:lineRule="auto"/>
                    <w:ind w:left="-105" w:leftChars="-50" w:right="-105" w:rightChars="-50"/>
                    <w:jc w:val="center"/>
                    <w:outlineLvl w:val="2"/>
                    <w:rPr>
                      <w:b w:val="0"/>
                      <w:bCs w:val="0"/>
                      <w:sz w:val="21"/>
                      <w:szCs w:val="21"/>
                    </w:rPr>
                  </w:pPr>
                  <w:r>
                    <w:rPr>
                      <w:rFonts w:hAnsi="Arial"/>
                      <w:b w:val="0"/>
                      <w:bCs w:val="0"/>
                      <w:sz w:val="21"/>
                      <w:szCs w:val="21"/>
                    </w:rPr>
                    <w:t>现状规划为农林用地</w:t>
                  </w:r>
                </w:p>
              </w:tc>
            </w:tr>
          </w:tbl>
          <w:p>
            <w:pPr>
              <w:pStyle w:val="13"/>
              <w:spacing w:beforeLines="20" w:line="288" w:lineRule="auto"/>
              <w:jc w:val="center"/>
              <w:rPr>
                <w:rFonts w:ascii="Times New Roman" w:hAnsi="Times New Roman"/>
                <w:b/>
                <w:bCs/>
                <w:kern w:val="0"/>
                <w:sz w:val="20"/>
                <w:szCs w:val="21"/>
              </w:rPr>
            </w:pPr>
            <w:r>
              <w:rPr>
                <w:rFonts w:ascii="Times New Roman" w:hAnsi="Arial"/>
                <w:b/>
                <w:bCs/>
                <w:kern w:val="0"/>
                <w:sz w:val="20"/>
                <w:szCs w:val="21"/>
              </w:rPr>
              <w:t>表</w:t>
            </w:r>
            <w:r>
              <w:rPr>
                <w:rFonts w:ascii="Times New Roman" w:hAnsi="Times New Roman"/>
                <w:b/>
                <w:bCs/>
                <w:kern w:val="0"/>
                <w:sz w:val="20"/>
                <w:szCs w:val="21"/>
              </w:rPr>
              <w:t xml:space="preserve">2-2 </w:t>
            </w:r>
            <w:r>
              <w:rPr>
                <w:rFonts w:ascii="Times New Roman" w:hAnsi="Arial"/>
                <w:b/>
                <w:bCs/>
                <w:kern w:val="0"/>
                <w:sz w:val="20"/>
                <w:szCs w:val="21"/>
              </w:rPr>
              <w:t>项目周边地表水、声环境敏感目标</w:t>
            </w:r>
          </w:p>
          <w:tbl>
            <w:tblPr>
              <w:tblStyle w:val="115"/>
              <w:tblW w:w="83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94"/>
              <w:gridCol w:w="1235"/>
              <w:gridCol w:w="604"/>
              <w:gridCol w:w="1238"/>
              <w:gridCol w:w="1701"/>
              <w:gridCol w:w="2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 w:hRule="atLeast"/>
                <w:jc w:val="center"/>
              </w:trPr>
              <w:tc>
                <w:tcPr>
                  <w:tcW w:w="473"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环境因素</w:t>
                  </w:r>
                </w:p>
              </w:tc>
              <w:tc>
                <w:tcPr>
                  <w:tcW w:w="736"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主要保护目标</w:t>
                  </w:r>
                </w:p>
              </w:tc>
              <w:tc>
                <w:tcPr>
                  <w:tcW w:w="1098" w:type="pct"/>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位置关系</w:t>
                  </w:r>
                </w:p>
              </w:tc>
              <w:tc>
                <w:tcPr>
                  <w:tcW w:w="1014" w:type="pct"/>
                  <w:vMerge w:val="restart"/>
                  <w:tcBorders>
                    <w:top w:val="single" w:color="000000" w:sz="4" w:space="0"/>
                    <w:left w:val="single" w:color="000000" w:sz="4" w:space="0"/>
                    <w:bottom w:val="single" w:color="auto" w:sz="4" w:space="0"/>
                    <w:right w:val="single" w:color="000000"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规模及性质</w:t>
                  </w:r>
                </w:p>
              </w:tc>
              <w:tc>
                <w:tcPr>
                  <w:tcW w:w="1679"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环境功能区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73"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left"/>
                    <w:rPr>
                      <w:rFonts w:ascii="Times New Roman" w:hAnsi="Times New Roman" w:eastAsiaTheme="minorEastAsia"/>
                      <w:kern w:val="0"/>
                      <w:sz w:val="22"/>
                      <w:szCs w:val="21"/>
                      <w:lang w:eastAsia="en-US"/>
                    </w:rPr>
                  </w:pPr>
                </w:p>
              </w:tc>
              <w:tc>
                <w:tcPr>
                  <w:tcW w:w="736"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left"/>
                    <w:rPr>
                      <w:rFonts w:ascii="Times New Roman" w:hAnsi="Times New Roman" w:eastAsiaTheme="minorEastAsia"/>
                      <w:kern w:val="0"/>
                      <w:sz w:val="22"/>
                      <w:szCs w:val="21"/>
                      <w:lang w:eastAsia="en-US"/>
                    </w:rPr>
                  </w:pPr>
                </w:p>
              </w:tc>
              <w:tc>
                <w:tcPr>
                  <w:tcW w:w="360" w:type="pct"/>
                  <w:tcBorders>
                    <w:top w:val="single" w:color="000000" w:sz="4" w:space="0"/>
                    <w:left w:val="single" w:color="000000" w:sz="4" w:space="0"/>
                    <w:bottom w:val="single" w:color="auto" w:sz="4" w:space="0"/>
                    <w:right w:val="single" w:color="000000"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方位</w:t>
                  </w:r>
                </w:p>
              </w:tc>
              <w:tc>
                <w:tcPr>
                  <w:tcW w:w="738" w:type="pct"/>
                  <w:tcBorders>
                    <w:top w:val="single" w:color="000000" w:sz="4" w:space="0"/>
                    <w:left w:val="single" w:color="000000" w:sz="4" w:space="0"/>
                    <w:bottom w:val="single" w:color="auto" w:sz="4" w:space="0"/>
                    <w:right w:val="single" w:color="000000"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距离周界最近距离</w:t>
                  </w:r>
                </w:p>
              </w:tc>
              <w:tc>
                <w:tcPr>
                  <w:tcW w:w="1014" w:type="pct"/>
                  <w:vMerge w:val="continue"/>
                  <w:tcBorders>
                    <w:top w:val="single" w:color="000000" w:sz="4" w:space="0"/>
                    <w:left w:val="single" w:color="000000" w:sz="4" w:space="0"/>
                    <w:bottom w:val="single" w:color="auto" w:sz="4" w:space="0"/>
                    <w:right w:val="single" w:color="000000" w:sz="4" w:space="0"/>
                  </w:tcBorders>
                  <w:vAlign w:val="center"/>
                </w:tcPr>
                <w:p>
                  <w:pPr>
                    <w:autoSpaceDE w:val="0"/>
                    <w:autoSpaceDN w:val="0"/>
                    <w:jc w:val="left"/>
                    <w:rPr>
                      <w:rFonts w:ascii="Times New Roman" w:hAnsi="Times New Roman" w:eastAsiaTheme="minorEastAsia"/>
                      <w:kern w:val="0"/>
                      <w:sz w:val="22"/>
                      <w:szCs w:val="21"/>
                      <w:lang w:eastAsia="en-US"/>
                    </w:rPr>
                  </w:pPr>
                </w:p>
              </w:tc>
              <w:tc>
                <w:tcPr>
                  <w:tcW w:w="1679" w:type="pct"/>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jc w:val="left"/>
                    <w:rPr>
                      <w:rFonts w:ascii="Times New Roman" w:hAnsi="Times New Roman" w:eastAsiaTheme="minorEastAsia"/>
                      <w:kern w:val="0"/>
                      <w:sz w:val="22"/>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73" w:type="pct"/>
                  <w:tcBorders>
                    <w:top w:val="single" w:color="000000" w:sz="4" w:space="0"/>
                    <w:left w:val="single" w:color="000000" w:sz="4" w:space="0"/>
                    <w:bottom w:val="single" w:color="000000" w:sz="4" w:space="0"/>
                    <w:right w:val="single" w:color="000000"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地表水</w:t>
                  </w:r>
                </w:p>
              </w:tc>
              <w:tc>
                <w:tcPr>
                  <w:tcW w:w="736" w:type="pct"/>
                  <w:tcBorders>
                    <w:top w:val="single" w:color="000000" w:sz="4" w:space="0"/>
                    <w:left w:val="single" w:color="000000" w:sz="4" w:space="0"/>
                    <w:bottom w:val="single" w:color="000000" w:sz="4" w:space="0"/>
                    <w:right w:val="single" w:color="auto"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和睦港</w:t>
                  </w:r>
                </w:p>
              </w:tc>
              <w:tc>
                <w:tcPr>
                  <w:tcW w:w="360" w:type="pct"/>
                  <w:tcBorders>
                    <w:top w:val="single" w:color="auto" w:sz="4" w:space="0"/>
                    <w:left w:val="single" w:color="auto" w:sz="4" w:space="0"/>
                    <w:bottom w:val="single" w:color="auto" w:sz="4" w:space="0"/>
                    <w:right w:val="single" w:color="auto"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西北</w:t>
                  </w:r>
                </w:p>
              </w:tc>
              <w:tc>
                <w:tcPr>
                  <w:tcW w:w="738" w:type="pct"/>
                  <w:tcBorders>
                    <w:top w:val="single" w:color="auto" w:sz="4" w:space="0"/>
                    <w:left w:val="single" w:color="auto" w:sz="4" w:space="0"/>
                    <w:bottom w:val="single" w:color="auto" w:sz="4" w:space="0"/>
                    <w:right w:val="single" w:color="auto"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Times New Roman"/>
                      <w:kern w:val="0"/>
                      <w:sz w:val="22"/>
                      <w:szCs w:val="21"/>
                      <w:lang w:eastAsia="en-US"/>
                    </w:rPr>
                    <w:t>100</w:t>
                  </w:r>
                </w:p>
              </w:tc>
              <w:tc>
                <w:tcPr>
                  <w:tcW w:w="1014" w:type="pct"/>
                  <w:tcBorders>
                    <w:top w:val="single" w:color="auto" w:sz="4" w:space="0"/>
                    <w:left w:val="single" w:color="auto" w:sz="4" w:space="0"/>
                    <w:bottom w:val="single" w:color="auto" w:sz="4" w:space="0"/>
                    <w:right w:val="single" w:color="auto"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ascii="Times New Roman" w:hAnsi="Arial"/>
                      <w:kern w:val="0"/>
                      <w:sz w:val="22"/>
                      <w:szCs w:val="21"/>
                      <w:lang w:eastAsia="en-US"/>
                    </w:rPr>
                    <w:t>宽约</w:t>
                  </w:r>
                  <w:r>
                    <w:rPr>
                      <w:rFonts w:ascii="Times New Roman" w:hAnsi="Times New Roman"/>
                      <w:kern w:val="0"/>
                      <w:sz w:val="22"/>
                      <w:szCs w:val="21"/>
                      <w:lang w:eastAsia="en-US"/>
                    </w:rPr>
                    <w:t>28m</w:t>
                  </w:r>
                </w:p>
              </w:tc>
              <w:tc>
                <w:tcPr>
                  <w:tcW w:w="1679" w:type="pct"/>
                  <w:tcBorders>
                    <w:top w:val="single" w:color="000000" w:sz="4" w:space="0"/>
                    <w:left w:val="single" w:color="auto" w:sz="4" w:space="0"/>
                    <w:bottom w:val="single" w:color="000000" w:sz="4" w:space="0"/>
                    <w:right w:val="single" w:color="000000" w:sz="4" w:space="0"/>
                  </w:tcBorders>
                  <w:vAlign w:val="center"/>
                </w:tcPr>
                <w:p>
                  <w:pPr>
                    <w:autoSpaceDE w:val="0"/>
                    <w:autoSpaceDN w:val="0"/>
                    <w:jc w:val="center"/>
                    <w:rPr>
                      <w:rFonts w:ascii="Times New Roman" w:hAnsi="Times New Roman"/>
                      <w:kern w:val="0"/>
                      <w:sz w:val="22"/>
                      <w:szCs w:val="21"/>
                      <w:lang w:eastAsia="zh-CN"/>
                    </w:rPr>
                  </w:pPr>
                  <w:r>
                    <w:rPr>
                      <w:rFonts w:ascii="Times New Roman" w:hAnsi="Arial"/>
                      <w:kern w:val="0"/>
                      <w:sz w:val="22"/>
                      <w:szCs w:val="21"/>
                      <w:lang w:eastAsia="zh-CN"/>
                    </w:rPr>
                    <w:t>《地表水环境质量标准》</w:t>
                  </w:r>
                  <w:r>
                    <w:rPr>
                      <w:rFonts w:ascii="Times New Roman" w:hAnsi="Times New Roman"/>
                      <w:kern w:val="0"/>
                      <w:sz w:val="22"/>
                      <w:szCs w:val="21"/>
                      <w:lang w:eastAsia="zh-CN"/>
                    </w:rPr>
                    <w:t>(GB 3838-2002)</w:t>
                  </w:r>
                  <w:r>
                    <w:rPr>
                      <w:rFonts w:ascii="Times New Roman" w:hAnsi="Arial"/>
                      <w:kern w:val="0"/>
                      <w:sz w:val="22"/>
                      <w:szCs w:val="21"/>
                      <w:lang w:eastAsia="zh-CN"/>
                    </w:rPr>
                    <w:t>中Ⅲ类标准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73" w:type="pct"/>
                  <w:tcBorders>
                    <w:top w:val="single" w:color="000000" w:sz="4" w:space="0"/>
                    <w:left w:val="single" w:color="000000" w:sz="4" w:space="0"/>
                    <w:bottom w:val="single" w:color="000000" w:sz="4" w:space="0"/>
                    <w:right w:val="single" w:color="000000"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hint="eastAsia" w:ascii="Times New Roman" w:hAnsi="Times New Roman"/>
                      <w:kern w:val="0"/>
                      <w:sz w:val="22"/>
                      <w:szCs w:val="21"/>
                      <w:lang w:eastAsia="en-US"/>
                    </w:rPr>
                    <w:t>声环境</w:t>
                  </w:r>
                </w:p>
              </w:tc>
              <w:tc>
                <w:tcPr>
                  <w:tcW w:w="736" w:type="pct"/>
                  <w:tcBorders>
                    <w:top w:val="single" w:color="000000" w:sz="4" w:space="0"/>
                    <w:left w:val="single" w:color="000000" w:sz="4" w:space="0"/>
                    <w:bottom w:val="single" w:color="000000" w:sz="4" w:space="0"/>
                    <w:right w:val="single" w:color="auto"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hint="eastAsia" w:ascii="Times New Roman" w:hAnsi="Times New Roman"/>
                      <w:kern w:val="0"/>
                      <w:sz w:val="22"/>
                      <w:szCs w:val="21"/>
                      <w:lang w:eastAsia="en-US"/>
                    </w:rPr>
                    <w:t>星乐小区二区</w:t>
                  </w:r>
                </w:p>
              </w:tc>
              <w:tc>
                <w:tcPr>
                  <w:tcW w:w="360" w:type="pct"/>
                  <w:tcBorders>
                    <w:top w:val="single" w:color="auto" w:sz="4" w:space="0"/>
                    <w:left w:val="single" w:color="auto" w:sz="4" w:space="0"/>
                    <w:bottom w:val="single" w:color="auto" w:sz="4" w:space="0"/>
                    <w:right w:val="single" w:color="auto"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hint="eastAsia" w:ascii="Times New Roman" w:hAnsi="Times New Roman"/>
                      <w:kern w:val="0"/>
                      <w:sz w:val="22"/>
                      <w:szCs w:val="21"/>
                      <w:lang w:eastAsia="en-US"/>
                    </w:rPr>
                    <w:t>东北</w:t>
                  </w:r>
                </w:p>
              </w:tc>
              <w:tc>
                <w:tcPr>
                  <w:tcW w:w="738" w:type="pct"/>
                  <w:tcBorders>
                    <w:top w:val="single" w:color="auto" w:sz="4" w:space="0"/>
                    <w:left w:val="single" w:color="auto" w:sz="4" w:space="0"/>
                    <w:bottom w:val="single" w:color="auto" w:sz="4" w:space="0"/>
                    <w:right w:val="single" w:color="auto"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hint="eastAsia" w:ascii="Times New Roman" w:hAnsi="Times New Roman"/>
                      <w:kern w:val="0"/>
                      <w:sz w:val="22"/>
                      <w:szCs w:val="21"/>
                      <w:lang w:eastAsia="en-US"/>
                    </w:rPr>
                    <w:t>5</w:t>
                  </w:r>
                </w:p>
              </w:tc>
              <w:tc>
                <w:tcPr>
                  <w:tcW w:w="1014" w:type="pct"/>
                  <w:tcBorders>
                    <w:top w:val="single" w:color="auto" w:sz="4" w:space="0"/>
                    <w:left w:val="single" w:color="auto" w:sz="4" w:space="0"/>
                    <w:bottom w:val="single" w:color="auto" w:sz="4" w:space="0"/>
                    <w:right w:val="single" w:color="auto" w:sz="4" w:space="0"/>
                  </w:tcBorders>
                  <w:vAlign w:val="center"/>
                </w:tcPr>
                <w:p>
                  <w:pPr>
                    <w:autoSpaceDE w:val="0"/>
                    <w:autoSpaceDN w:val="0"/>
                    <w:ind w:left="-105" w:leftChars="-50" w:right="-105" w:rightChars="-50"/>
                    <w:jc w:val="center"/>
                    <w:rPr>
                      <w:rFonts w:ascii="Times New Roman" w:hAnsi="Times New Roman"/>
                      <w:kern w:val="0"/>
                      <w:sz w:val="22"/>
                      <w:szCs w:val="21"/>
                      <w:lang w:eastAsia="en-US"/>
                    </w:rPr>
                  </w:pPr>
                  <w:r>
                    <w:rPr>
                      <w:rFonts w:hint="eastAsia" w:ascii="Times New Roman" w:hAnsi="Times New Roman"/>
                      <w:kern w:val="0"/>
                      <w:sz w:val="22"/>
                      <w:szCs w:val="21"/>
                      <w:lang w:eastAsia="en-US"/>
                    </w:rPr>
                    <w:t>居住区，约500户</w:t>
                  </w:r>
                </w:p>
              </w:tc>
              <w:tc>
                <w:tcPr>
                  <w:tcW w:w="1679" w:type="pct"/>
                  <w:tcBorders>
                    <w:top w:val="single" w:color="000000" w:sz="4" w:space="0"/>
                    <w:left w:val="single" w:color="auto" w:sz="4" w:space="0"/>
                    <w:bottom w:val="single" w:color="000000" w:sz="4" w:space="0"/>
                    <w:right w:val="single" w:color="000000" w:sz="4" w:space="0"/>
                  </w:tcBorders>
                  <w:vAlign w:val="center"/>
                </w:tcPr>
                <w:p>
                  <w:pPr>
                    <w:autoSpaceDE w:val="0"/>
                    <w:autoSpaceDN w:val="0"/>
                    <w:jc w:val="center"/>
                    <w:rPr>
                      <w:rFonts w:ascii="Times New Roman" w:hAnsi="Times New Roman"/>
                      <w:kern w:val="0"/>
                      <w:sz w:val="22"/>
                      <w:szCs w:val="21"/>
                      <w:lang w:eastAsia="zh-CN"/>
                    </w:rPr>
                  </w:pPr>
                  <w:r>
                    <w:rPr>
                      <w:rFonts w:hint="eastAsia" w:ascii="Times New Roman" w:hAnsi="Times New Roman"/>
                      <w:kern w:val="0"/>
                      <w:sz w:val="22"/>
                      <w:szCs w:val="21"/>
                      <w:lang w:eastAsia="zh-CN"/>
                    </w:rPr>
                    <w:t>《声环境质量标准》（GB3096-2008）中2类标准</w:t>
                  </w:r>
                </w:p>
              </w:tc>
            </w:tr>
          </w:tbl>
          <w:p>
            <w:pPr>
              <w:spacing w:line="360" w:lineRule="auto"/>
              <w:ind w:firstLine="482" w:firstLineChars="200"/>
              <w:rPr>
                <w:rFonts w:ascii="Times New Roman" w:hAnsi="Times New Roman"/>
                <w:b/>
                <w:bCs/>
                <w:kern w:val="0"/>
                <w:sz w:val="24"/>
              </w:rPr>
            </w:pPr>
            <w:r>
              <w:rPr>
                <w:rFonts w:ascii="Times New Roman" w:hAnsi="Times New Roman"/>
                <w:b/>
                <w:bCs/>
                <w:kern w:val="0"/>
                <w:sz w:val="24"/>
              </w:rPr>
              <w:t>2.2</w:t>
            </w:r>
            <w:r>
              <w:rPr>
                <w:rFonts w:ascii="Times New Roman" w:hAnsi="Arial"/>
                <w:b/>
                <w:bCs/>
                <w:kern w:val="0"/>
                <w:sz w:val="24"/>
              </w:rPr>
              <w:t>平面布置</w:t>
            </w:r>
          </w:p>
          <w:p>
            <w:pPr>
              <w:spacing w:line="360" w:lineRule="auto"/>
              <w:ind w:firstLine="482" w:firstLineChars="200"/>
              <w:rPr>
                <w:rFonts w:ascii="Times New Roman" w:hAnsi="Times New Roman"/>
                <w:b/>
                <w:bCs/>
                <w:kern w:val="0"/>
                <w:sz w:val="24"/>
              </w:rPr>
            </w:pPr>
            <w:r>
              <w:rPr>
                <w:rFonts w:ascii="Times New Roman" w:hAnsi="Arial"/>
                <w:b/>
                <w:bCs/>
                <w:kern w:val="0"/>
                <w:sz w:val="24"/>
              </w:rPr>
              <w:t>项目平面布置与原环评一致。</w:t>
            </w:r>
          </w:p>
          <w:p>
            <w:pPr>
              <w:spacing w:line="360" w:lineRule="auto"/>
              <w:ind w:firstLine="480" w:firstLineChars="200"/>
              <w:rPr>
                <w:rFonts w:ascii="Times New Roman" w:hAnsi="Arial"/>
                <w:kern w:val="0"/>
                <w:sz w:val="24"/>
              </w:rPr>
            </w:pPr>
            <w:r>
              <w:rPr>
                <w:rFonts w:hint="eastAsia" w:ascii="Times New Roman" w:hAnsi="Arial"/>
                <w:kern w:val="0"/>
                <w:sz w:val="24"/>
              </w:rPr>
              <w:t>项目由63个班级组成，地下车库为一层，位于田径场下。项目包括1幢小学教学楼（含实验室、图书馆、多功能厅）、1幢初中教学楼（含实验室、综合楼、行政办公楼、阶梯教室）、1幢体育馆（含室内游泳池）、1个田径场、2个运动场、1个食堂。田径场、运动场2设置在场地东侧，初中教学楼设置在场地南侧、体育馆设置在场地中央，小学教学楼设置在场地西侧，运动场1、食堂设置在场地北侧。体育馆、初中教学楼、小学教学楼以及食堂均有连廊相连</w:t>
            </w:r>
            <w:r>
              <w:rPr>
                <w:rFonts w:ascii="Times New Roman" w:hAnsi="Arial"/>
                <w:kern w:val="0"/>
                <w:sz w:val="24"/>
              </w:rPr>
              <w:t>。</w:t>
            </w:r>
          </w:p>
          <w:p>
            <w:pPr>
              <w:spacing w:line="360" w:lineRule="auto"/>
              <w:ind w:firstLine="480" w:firstLineChars="200"/>
              <w:rPr>
                <w:rFonts w:ascii="Arial" w:hAnsi="Arial" w:cs="Arial"/>
                <w:b/>
                <w:bCs/>
                <w:kern w:val="0"/>
                <w:sz w:val="24"/>
              </w:rPr>
            </w:pPr>
            <w:r>
              <w:rPr>
                <w:rFonts w:ascii="Times New Roman" w:hAnsi="Arial"/>
                <w:kern w:val="0"/>
                <w:sz w:val="24"/>
              </w:rPr>
              <w:t>根据项目竣工图，</w:t>
            </w:r>
            <w:r>
              <w:rPr>
                <w:rFonts w:ascii="Times New Roman" w:hAnsi="Arial"/>
                <w:b/>
                <w:bCs/>
                <w:kern w:val="0"/>
                <w:sz w:val="24"/>
              </w:rPr>
              <w:t>各建筑功能布局与原环评</w:t>
            </w:r>
            <w:r>
              <w:rPr>
                <w:rFonts w:hint="eastAsia" w:ascii="Times New Roman" w:hAnsi="Arial"/>
                <w:b/>
                <w:bCs/>
                <w:kern w:val="0"/>
                <w:sz w:val="24"/>
              </w:rPr>
              <w:t>基本</w:t>
            </w:r>
            <w:r>
              <w:rPr>
                <w:rFonts w:ascii="Times New Roman" w:hAnsi="Arial"/>
                <w:b/>
                <w:bCs/>
                <w:kern w:val="0"/>
                <w:sz w:val="24"/>
              </w:rPr>
              <w:t>一致，详见表</w:t>
            </w:r>
            <w:r>
              <w:rPr>
                <w:rFonts w:ascii="Times New Roman" w:hAnsi="Times New Roman"/>
                <w:b/>
                <w:bCs/>
                <w:kern w:val="0"/>
                <w:sz w:val="24"/>
              </w:rPr>
              <w:t>2-3</w:t>
            </w:r>
            <w:r>
              <w:rPr>
                <w:rFonts w:ascii="Times New Roman" w:hAnsi="Arial"/>
                <w:b/>
                <w:bCs/>
                <w:kern w:val="0"/>
                <w:sz w:val="24"/>
              </w:rPr>
              <w:t>。</w:t>
            </w:r>
          </w:p>
          <w:p>
            <w:pPr>
              <w:pStyle w:val="13"/>
              <w:spacing w:beforeLines="20" w:line="288" w:lineRule="auto"/>
              <w:jc w:val="center"/>
              <w:rPr>
                <w:rFonts w:ascii="Times New Roman" w:hAnsi="Times New Roman"/>
                <w:b/>
                <w:bCs/>
                <w:kern w:val="0"/>
                <w:sz w:val="20"/>
                <w:szCs w:val="21"/>
              </w:rPr>
            </w:pPr>
            <w:r>
              <w:rPr>
                <w:rFonts w:ascii="Times New Roman" w:hAnsi="Arial"/>
                <w:b/>
                <w:bCs/>
                <w:kern w:val="0"/>
                <w:sz w:val="20"/>
                <w:szCs w:val="21"/>
              </w:rPr>
              <w:t>表</w:t>
            </w:r>
            <w:r>
              <w:rPr>
                <w:rFonts w:ascii="Times New Roman" w:hAnsi="Times New Roman"/>
                <w:b/>
                <w:bCs/>
                <w:kern w:val="0"/>
                <w:sz w:val="20"/>
                <w:szCs w:val="21"/>
              </w:rPr>
              <w:t>2-3</w:t>
            </w:r>
            <w:r>
              <w:rPr>
                <w:rFonts w:ascii="Times New Roman" w:hAnsi="Arial"/>
                <w:b/>
                <w:bCs/>
                <w:kern w:val="0"/>
                <w:sz w:val="20"/>
                <w:szCs w:val="21"/>
              </w:rPr>
              <w:t>项目功能布局一览表</w:t>
            </w:r>
          </w:p>
          <w:tbl>
            <w:tblPr>
              <w:tblStyle w:val="33"/>
              <w:tblW w:w="47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063"/>
              <w:gridCol w:w="952"/>
              <w:gridCol w:w="4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名称</w:t>
                  </w:r>
                </w:p>
              </w:tc>
              <w:tc>
                <w:tcPr>
                  <w:tcW w:w="676"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总层数</w:t>
                  </w: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楼层</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功能布置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小学部教学楼</w:t>
                  </w:r>
                </w:p>
              </w:tc>
              <w:tc>
                <w:tcPr>
                  <w:tcW w:w="676" w:type="pct"/>
                  <w:vMerge w:val="restart"/>
                  <w:tcBorders>
                    <w:top w:val="single" w:color="auto" w:sz="4" w:space="0"/>
                    <w:left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4层，建筑高度</w:t>
                  </w:r>
                  <w:r>
                    <w:rPr>
                      <w:rFonts w:hint="eastAsia" w:ascii="Times New Roman" w:hAnsi="Times New Roman"/>
                      <w:szCs w:val="21"/>
                    </w:rPr>
                    <w:t>19.35</w:t>
                  </w:r>
                  <w:r>
                    <w:rPr>
                      <w:rFonts w:ascii="Times New Roman" w:hAnsi="Times New Roman"/>
                      <w:szCs w:val="21"/>
                    </w:rPr>
                    <w:t>m</w:t>
                  </w: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1F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行政办公室、教学办公室、会议室、厕所、自然教室、准备室、书法教室、普通教室、多功能教室、舞台、学生阅览室、藏书区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2F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行政办公室、劳动技术教室、劳动教具室、厕所、教学办公室、书法教室、准备室、舞蹈话剧排练角、保健室、电子阅览区、教工阅览室、藏书区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3F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语言资料室、语言教室、厕所、计算机教室、读书角、美术教室、教具室、教学办公室、低年级活动场地、普通教室、网络中心、心理辅导室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4F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合班教室、准备室、听课室、美术教室、厕所、音乐教师、乐器室、音乐角、教学办公室、普通教室、科技活动室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初中部教学楼</w:t>
                  </w:r>
                </w:p>
              </w:tc>
              <w:tc>
                <w:tcPr>
                  <w:tcW w:w="676" w:type="pct"/>
                  <w:vMerge w:val="restart"/>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4层，建筑高度</w:t>
                  </w:r>
                  <w:r>
                    <w:rPr>
                      <w:rFonts w:hint="eastAsia" w:ascii="Times New Roman" w:hAnsi="Times New Roman"/>
                      <w:szCs w:val="21"/>
                    </w:rPr>
                    <w:t>19.35</w:t>
                  </w:r>
                  <w:r>
                    <w:rPr>
                      <w:rFonts w:ascii="Times New Roman" w:hAnsi="Times New Roman"/>
                      <w:szCs w:val="21"/>
                    </w:rPr>
                    <w:t>m</w:t>
                  </w: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1F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普通办公室、教师办公室、微格室、舞蹈室、准备室、总务器材室、阶梯教室、答疑辅导室、值班室、厕所、化学实验室、生物实验室、保健室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tcBorders>
                    <w:left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2F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普通教室、教师办公室、劳动教室、音乐教室、厕所、会议室、答疑辅导室、行政办公室、接待室、准备室、物理实验室、生物实验室、保健室</w:t>
                  </w:r>
                  <w:r>
                    <w:rPr>
                      <w:rFonts w:ascii="Times New Roman" w:hAnsi="Times New Roman"/>
                      <w:szCs w:val="21"/>
                      <w:vertAlign w:val="superscript"/>
                    </w:rPr>
                    <w:t>①</w:t>
                  </w:r>
                  <w:r>
                    <w:rPr>
                      <w:rFonts w:ascii="Times New Roman" w:hAnsi="Times New Roman"/>
                      <w:szCs w:val="21"/>
                    </w:rPr>
                    <w:t>、休息室、看台、主席台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tcBorders>
                    <w:left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3F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普通教室、教师办公室、美术教师、书法教室、准备室、休息室、教学部、学生事务部、总务部、行政办公室、厕所、答疑辅导室、心理咨询室、物理实验室、计算机教室、语言教室、广播室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tcBorders>
                    <w:left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4F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普通教室、教师办公室、答疑辅导室、准备室、备用教室、科技活动室、地理教室、语言教室、合班教室、听课室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restart"/>
                  <w:tcBorders>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体育馆</w:t>
                  </w:r>
                </w:p>
              </w:tc>
              <w:tc>
                <w:tcPr>
                  <w:tcW w:w="676" w:type="pct"/>
                  <w:vMerge w:val="restart"/>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2层，建筑高度</w:t>
                  </w:r>
                  <w:r>
                    <w:rPr>
                      <w:rFonts w:hint="eastAsia" w:ascii="Times New Roman" w:hAnsi="Times New Roman"/>
                      <w:szCs w:val="21"/>
                    </w:rPr>
                    <w:t>17.35</w:t>
                  </w:r>
                  <w:r>
                    <w:rPr>
                      <w:rFonts w:ascii="Times New Roman" w:hAnsi="Times New Roman"/>
                      <w:szCs w:val="21"/>
                    </w:rPr>
                    <w:t>m</w:t>
                  </w: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1F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游泳馆</w:t>
                  </w:r>
                  <w:r>
                    <w:rPr>
                      <w:rFonts w:ascii="Times New Roman" w:hAnsi="Times New Roman"/>
                      <w:szCs w:val="21"/>
                      <w:vertAlign w:val="superscript"/>
                    </w:rPr>
                    <w:t>③</w:t>
                  </w:r>
                  <w:r>
                    <w:rPr>
                      <w:rFonts w:ascii="Times New Roman" w:hAnsi="Times New Roman"/>
                      <w:szCs w:val="21"/>
                    </w:rPr>
                    <w:t>、更衣室、急救室、设备用房、值班室、办公室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tcBorders>
                    <w:left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2F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室内篮球场、厕所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restart"/>
                  <w:tcBorders>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食堂</w:t>
                  </w:r>
                  <w:r>
                    <w:rPr>
                      <w:rFonts w:ascii="Times New Roman" w:hAnsi="Times New Roman"/>
                      <w:szCs w:val="21"/>
                      <w:vertAlign w:val="superscript"/>
                    </w:rPr>
                    <w:t>②</w:t>
                  </w:r>
                </w:p>
              </w:tc>
              <w:tc>
                <w:tcPr>
                  <w:tcW w:w="676" w:type="pct"/>
                  <w:vMerge w:val="restart"/>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3 层，建 筑 高度</w:t>
                  </w:r>
                  <w:r>
                    <w:rPr>
                      <w:rFonts w:hint="eastAsia" w:ascii="Times New Roman" w:hAnsi="Times New Roman"/>
                      <w:szCs w:val="21"/>
                    </w:rPr>
                    <w:t>17.25</w:t>
                  </w:r>
                  <w:r>
                    <w:rPr>
                      <w:rFonts w:ascii="Times New Roman" w:hAnsi="Times New Roman"/>
                      <w:szCs w:val="21"/>
                    </w:rPr>
                    <w:t>m</w:t>
                  </w: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地下1F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非机动车库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tcBorders>
                    <w:left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1F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主食库、副食库、更衣室、粗加工室、厨房、准备室、洗消间、餐具回收室、小超市、餐厅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tcBorders>
                    <w:left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2F~3F</w:t>
                  </w:r>
                </w:p>
              </w:tc>
              <w:tc>
                <w:tcPr>
                  <w:tcW w:w="3138"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更衣室、洗消间、餐具回收室、餐厅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restart"/>
                  <w:tcBorders>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田径场</w:t>
                  </w:r>
                </w:p>
              </w:tc>
              <w:tc>
                <w:tcPr>
                  <w:tcW w:w="676" w:type="pct"/>
                  <w:vMerge w:val="restart"/>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ascii="Times New Roman" w:hAnsi="Times New Roman"/>
                      <w:szCs w:val="21"/>
                    </w:rPr>
                    <w:t>地下1层，地上操场</w:t>
                  </w:r>
                </w:p>
              </w:tc>
              <w:tc>
                <w:tcPr>
                  <w:tcW w:w="6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szCs w:val="21"/>
                    </w:rPr>
                    <w:t>地下</w:t>
                  </w:r>
                  <w:r>
                    <w:rPr>
                      <w:rFonts w:ascii="Times New Roman" w:hAnsi="Times New Roman"/>
                      <w:szCs w:val="21"/>
                    </w:rPr>
                    <w:t>1F</w:t>
                  </w:r>
                </w:p>
              </w:tc>
              <w:tc>
                <w:tcPr>
                  <w:tcW w:w="31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szCs w:val="21"/>
                    </w:rPr>
                    <w:t>地下停车场、排烟机房、配电室、水泵房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vMerge w:val="continue"/>
                  <w:tcBorders>
                    <w:left w:val="single" w:color="auto" w:sz="4" w:space="0"/>
                    <w:right w:val="single" w:color="auto" w:sz="4" w:space="0"/>
                  </w:tcBorders>
                  <w:vAlign w:val="center"/>
                </w:tcPr>
                <w:p>
                  <w:pPr>
                    <w:jc w:val="center"/>
                    <w:rPr>
                      <w:rFonts w:ascii="Times New Roman" w:hAnsi="Times New Roman"/>
                      <w:szCs w:val="21"/>
                    </w:rPr>
                  </w:pPr>
                </w:p>
              </w:tc>
              <w:tc>
                <w:tcPr>
                  <w:tcW w:w="676" w:type="pct"/>
                  <w:vMerge w:val="continue"/>
                  <w:tcBorders>
                    <w:left w:val="single" w:color="auto" w:sz="4" w:space="0"/>
                    <w:right w:val="single" w:color="auto" w:sz="4" w:space="0"/>
                  </w:tcBorders>
                  <w:vAlign w:val="center"/>
                </w:tcPr>
                <w:p>
                  <w:pPr>
                    <w:ind w:left="-105" w:leftChars="-50" w:right="-105" w:rightChars="-50"/>
                    <w:jc w:val="center"/>
                    <w:rPr>
                      <w:rFonts w:ascii="Times New Roman" w:hAnsi="Times New Roman"/>
                      <w:szCs w:val="21"/>
                    </w:rPr>
                  </w:pPr>
                </w:p>
              </w:tc>
              <w:tc>
                <w:tcPr>
                  <w:tcW w:w="6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1F</w:t>
                  </w:r>
                </w:p>
              </w:tc>
              <w:tc>
                <w:tcPr>
                  <w:tcW w:w="31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szCs w:val="21"/>
                    </w:rPr>
                    <w:t>操场、田径场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tcBorders>
                    <w:left w:val="single" w:color="auto" w:sz="4" w:space="0"/>
                    <w:right w:val="single" w:color="auto" w:sz="4" w:space="0"/>
                  </w:tcBorders>
                  <w:vAlign w:val="center"/>
                </w:tcPr>
                <w:p>
                  <w:pPr>
                    <w:jc w:val="center"/>
                    <w:rPr>
                      <w:rFonts w:ascii="Times New Roman" w:hAnsi="Times New Roman"/>
                      <w:szCs w:val="21"/>
                    </w:rPr>
                  </w:pPr>
                  <w:r>
                    <w:rPr>
                      <w:rFonts w:ascii="Times New Roman"/>
                      <w:szCs w:val="21"/>
                    </w:rPr>
                    <w:t>运动场</w:t>
                  </w:r>
                  <w:r>
                    <w:rPr>
                      <w:rFonts w:ascii="Times New Roman" w:hAnsi="Times New Roman"/>
                      <w:szCs w:val="21"/>
                    </w:rPr>
                    <w:t xml:space="preserve"> 1#</w:t>
                  </w:r>
                </w:p>
              </w:tc>
              <w:tc>
                <w:tcPr>
                  <w:tcW w:w="676" w:type="pct"/>
                  <w:tcBorders>
                    <w:left w:val="single" w:color="auto" w:sz="4" w:space="0"/>
                    <w:right w:val="single" w:color="auto" w:sz="4" w:space="0"/>
                  </w:tcBorders>
                  <w:vAlign w:val="center"/>
                </w:tcPr>
                <w:p>
                  <w:pPr>
                    <w:jc w:val="center"/>
                    <w:rPr>
                      <w:rFonts w:ascii="Times New Roman" w:hAnsi="Times New Roman"/>
                      <w:szCs w:val="21"/>
                    </w:rPr>
                  </w:pPr>
                  <w:r>
                    <w:rPr>
                      <w:rFonts w:ascii="Times New Roman"/>
                      <w:szCs w:val="21"/>
                    </w:rPr>
                    <w:t>地上运动场</w:t>
                  </w:r>
                </w:p>
              </w:tc>
              <w:tc>
                <w:tcPr>
                  <w:tcW w:w="6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1F</w:t>
                  </w:r>
                </w:p>
              </w:tc>
              <w:tc>
                <w:tcPr>
                  <w:tcW w:w="31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szCs w:val="21"/>
                    </w:rPr>
                    <w:t>足球场、篮球场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tcBorders>
                    <w:left w:val="single" w:color="auto" w:sz="4" w:space="0"/>
                    <w:right w:val="single" w:color="auto" w:sz="4" w:space="0"/>
                  </w:tcBorders>
                  <w:vAlign w:val="center"/>
                </w:tcPr>
                <w:p>
                  <w:pPr>
                    <w:jc w:val="center"/>
                    <w:rPr>
                      <w:rFonts w:ascii="Times New Roman" w:hAnsi="Times New Roman"/>
                      <w:szCs w:val="21"/>
                    </w:rPr>
                  </w:pPr>
                  <w:r>
                    <w:rPr>
                      <w:rFonts w:ascii="Times New Roman"/>
                      <w:szCs w:val="21"/>
                    </w:rPr>
                    <w:t>运动场</w:t>
                  </w:r>
                  <w:r>
                    <w:rPr>
                      <w:rFonts w:ascii="Times New Roman" w:hAnsi="Times New Roman"/>
                      <w:szCs w:val="21"/>
                    </w:rPr>
                    <w:t xml:space="preserve"> 2#</w:t>
                  </w:r>
                </w:p>
              </w:tc>
              <w:tc>
                <w:tcPr>
                  <w:tcW w:w="676" w:type="pct"/>
                  <w:tcBorders>
                    <w:left w:val="single" w:color="auto" w:sz="4" w:space="0"/>
                    <w:right w:val="single" w:color="auto" w:sz="4" w:space="0"/>
                  </w:tcBorders>
                  <w:vAlign w:val="center"/>
                </w:tcPr>
                <w:p>
                  <w:pPr>
                    <w:jc w:val="center"/>
                    <w:rPr>
                      <w:rFonts w:ascii="Times New Roman" w:hAnsi="Times New Roman"/>
                      <w:szCs w:val="21"/>
                    </w:rPr>
                  </w:pPr>
                  <w:r>
                    <w:rPr>
                      <w:rFonts w:ascii="Times New Roman"/>
                      <w:szCs w:val="21"/>
                    </w:rPr>
                    <w:t>地上运动场</w:t>
                  </w:r>
                </w:p>
              </w:tc>
              <w:tc>
                <w:tcPr>
                  <w:tcW w:w="6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1F</w:t>
                  </w:r>
                </w:p>
              </w:tc>
              <w:tc>
                <w:tcPr>
                  <w:tcW w:w="31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szCs w:val="21"/>
                    </w:rPr>
                    <w:t>篮球场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pct"/>
                  <w:tcBorders>
                    <w:left w:val="single" w:color="auto" w:sz="4" w:space="0"/>
                    <w:bottom w:val="single" w:color="auto" w:sz="4" w:space="0"/>
                    <w:right w:val="single" w:color="auto" w:sz="4" w:space="0"/>
                  </w:tcBorders>
                  <w:vAlign w:val="center"/>
                </w:tcPr>
                <w:p>
                  <w:pPr>
                    <w:jc w:val="center"/>
                    <w:rPr>
                      <w:rFonts w:ascii="Times New Roman"/>
                      <w:szCs w:val="21"/>
                    </w:rPr>
                  </w:pPr>
                  <w:r>
                    <w:rPr>
                      <w:rFonts w:hint="eastAsia" w:ascii="Times New Roman"/>
                      <w:szCs w:val="21"/>
                    </w:rPr>
                    <w:t>门卫</w:t>
                  </w:r>
                </w:p>
              </w:tc>
              <w:tc>
                <w:tcPr>
                  <w:tcW w:w="676" w:type="pct"/>
                  <w:tcBorders>
                    <w:left w:val="single" w:color="auto" w:sz="4" w:space="0"/>
                    <w:bottom w:val="single" w:color="auto" w:sz="4" w:space="0"/>
                    <w:right w:val="single" w:color="auto" w:sz="4" w:space="0"/>
                  </w:tcBorders>
                  <w:vAlign w:val="center"/>
                </w:tcPr>
                <w:p>
                  <w:pPr>
                    <w:jc w:val="center"/>
                    <w:rPr>
                      <w:rFonts w:ascii="Times New Roman"/>
                      <w:szCs w:val="21"/>
                    </w:rPr>
                  </w:pPr>
                  <w:r>
                    <w:rPr>
                      <w:rFonts w:hint="eastAsia" w:ascii="Times New Roman"/>
                      <w:szCs w:val="21"/>
                    </w:rPr>
                    <w:t>4层，高3.75m</w:t>
                  </w:r>
                </w:p>
              </w:tc>
              <w:tc>
                <w:tcPr>
                  <w:tcW w:w="6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1~4F</w:t>
                  </w:r>
                </w:p>
              </w:tc>
              <w:tc>
                <w:tcPr>
                  <w:tcW w:w="31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szCs w:val="21"/>
                    </w:rPr>
                  </w:pPr>
                  <w:r>
                    <w:rPr>
                      <w:rFonts w:hint="eastAsia" w:ascii="Times New Roman"/>
                      <w:szCs w:val="21"/>
                    </w:rPr>
                    <w:t>传达室、消控室</w:t>
                  </w:r>
                </w:p>
              </w:tc>
            </w:tr>
          </w:tbl>
          <w:p>
            <w:pPr>
              <w:ind w:firstLine="400" w:firstLineChars="200"/>
              <w:rPr>
                <w:kern w:val="0"/>
                <w:sz w:val="20"/>
                <w:szCs w:val="21"/>
              </w:rPr>
            </w:pPr>
            <w:r>
              <w:rPr>
                <w:rFonts w:hint="eastAsia"/>
                <w:kern w:val="0"/>
                <w:sz w:val="20"/>
                <w:szCs w:val="21"/>
              </w:rPr>
              <w:t>注：①保健室只对学校学生及教职工进行简单的体外检查和配药工作，不涉及抽血化验、设备诊疗等涉及产生医疗废物的检查项目。</w:t>
            </w:r>
          </w:p>
          <w:p>
            <w:pPr>
              <w:ind w:firstLine="400" w:firstLineChars="200"/>
              <w:rPr>
                <w:kern w:val="0"/>
                <w:sz w:val="20"/>
                <w:szCs w:val="21"/>
              </w:rPr>
            </w:pPr>
            <w:r>
              <w:rPr>
                <w:rFonts w:hint="eastAsia"/>
                <w:kern w:val="0"/>
                <w:sz w:val="20"/>
                <w:szCs w:val="21"/>
              </w:rPr>
              <w:t>②食堂只对学校学生及教职工开放，不对外营业。</w:t>
            </w:r>
          </w:p>
          <w:p>
            <w:pPr>
              <w:ind w:firstLine="400" w:firstLineChars="200"/>
              <w:rPr>
                <w:rFonts w:ascii="Times New Roman" w:hAnsi="Times New Roman" w:cstheme="minorBidi"/>
                <w:kern w:val="0"/>
                <w:sz w:val="20"/>
                <w:szCs w:val="21"/>
              </w:rPr>
            </w:pPr>
            <w:r>
              <w:rPr>
                <w:rFonts w:hint="eastAsia"/>
                <w:kern w:val="0"/>
                <w:sz w:val="20"/>
                <w:szCs w:val="21"/>
              </w:rPr>
              <w:t>③本项目游泳池仅服务于学校师生，不对外经营</w:t>
            </w:r>
          </w:p>
          <w:p>
            <w:pPr>
              <w:spacing w:line="360" w:lineRule="auto"/>
              <w:ind w:firstLine="482" w:firstLineChars="200"/>
              <w:rPr>
                <w:rFonts w:ascii="Times New Roman" w:hAnsi="Times New Roman"/>
                <w:b/>
                <w:bCs/>
                <w:kern w:val="0"/>
                <w:sz w:val="24"/>
              </w:rPr>
            </w:pPr>
            <w:r>
              <w:rPr>
                <w:rFonts w:ascii="Times New Roman" w:hAnsi="Times New Roman"/>
                <w:b/>
                <w:bCs/>
                <w:kern w:val="0"/>
                <w:sz w:val="24"/>
              </w:rPr>
              <w:t>2.3</w:t>
            </w:r>
            <w:r>
              <w:rPr>
                <w:rFonts w:ascii="Times New Roman" w:hAnsi="Arial"/>
                <w:b/>
                <w:bCs/>
                <w:kern w:val="0"/>
                <w:sz w:val="24"/>
              </w:rPr>
              <w:t>建设内容</w:t>
            </w:r>
          </w:p>
          <w:p>
            <w:pPr>
              <w:spacing w:line="360" w:lineRule="auto"/>
              <w:ind w:firstLine="480" w:firstLineChars="200"/>
              <w:rPr>
                <w:rFonts w:ascii="Times New Roman" w:hAnsi="Times New Roman"/>
                <w:b/>
                <w:bCs/>
                <w:kern w:val="0"/>
                <w:sz w:val="24"/>
              </w:rPr>
            </w:pPr>
            <w:r>
              <w:rPr>
                <w:rFonts w:hint="eastAsia" w:ascii="Times New Roman" w:hAnsi="Times New Roman"/>
                <w:bCs/>
                <w:kern w:val="0"/>
                <w:sz w:val="24"/>
              </w:rPr>
              <w:t>原环评审批时，</w:t>
            </w:r>
            <w:r>
              <w:rPr>
                <w:rFonts w:hint="eastAsia" w:ascii="Times New Roman" w:hAnsi="Arial"/>
                <w:kern w:val="0"/>
                <w:sz w:val="24"/>
              </w:rPr>
              <w:t>星桥九年一贯制学校设置63个班级，地下车库为一层，位于田径场下。项目总用地</w:t>
            </w:r>
            <w:r>
              <w:rPr>
                <w:rFonts w:ascii="Times New Roman" w:hAnsi="Arial"/>
                <w:kern w:val="0"/>
                <w:sz w:val="24"/>
              </w:rPr>
              <w:t>面积约为</w:t>
            </w:r>
            <w:r>
              <w:rPr>
                <w:rFonts w:hint="eastAsia" w:ascii="Times New Roman" w:hAnsi="Times New Roman"/>
                <w:kern w:val="0"/>
                <w:sz w:val="24"/>
              </w:rPr>
              <w:t>67588</w:t>
            </w:r>
            <w:r>
              <w:rPr>
                <w:rFonts w:ascii="Times New Roman" w:hAnsi="Arial"/>
                <w:kern w:val="0"/>
                <w:sz w:val="24"/>
              </w:rPr>
              <w:t>平方米，设计建设总建筑面积</w:t>
            </w:r>
            <w:r>
              <w:rPr>
                <w:rFonts w:hint="eastAsia" w:ascii="Times New Roman" w:hAnsi="Times New Roman"/>
                <w:kern w:val="0"/>
                <w:sz w:val="24"/>
              </w:rPr>
              <w:t>65372.67</w:t>
            </w:r>
            <w:r>
              <w:rPr>
                <w:rFonts w:ascii="Times New Roman" w:hAnsi="Arial"/>
                <w:kern w:val="0"/>
                <w:sz w:val="24"/>
              </w:rPr>
              <w:t>平方米，其中地上建筑面积约为</w:t>
            </w:r>
            <w:r>
              <w:rPr>
                <w:rFonts w:hint="eastAsia" w:ascii="Times New Roman" w:hAnsi="Times New Roman"/>
                <w:kern w:val="0"/>
                <w:sz w:val="24"/>
              </w:rPr>
              <w:t>49369.95</w:t>
            </w:r>
            <w:r>
              <w:rPr>
                <w:rFonts w:ascii="Times New Roman" w:hAnsi="Arial"/>
                <w:kern w:val="0"/>
                <w:sz w:val="24"/>
              </w:rPr>
              <w:t>平方米，地下建筑面积为</w:t>
            </w:r>
            <w:r>
              <w:rPr>
                <w:rFonts w:hint="eastAsia" w:ascii="Times New Roman" w:hAnsi="Times New Roman"/>
                <w:kern w:val="0"/>
                <w:sz w:val="24"/>
              </w:rPr>
              <w:t>16002.72</w:t>
            </w:r>
            <w:r>
              <w:rPr>
                <w:rFonts w:ascii="Times New Roman" w:hAnsi="Arial"/>
                <w:kern w:val="0"/>
                <w:sz w:val="24"/>
              </w:rPr>
              <w:t>平方米。</w:t>
            </w:r>
            <w:r>
              <w:rPr>
                <w:rFonts w:hint="eastAsia" w:ascii="Times New Roman" w:hAnsi="Arial"/>
                <w:kern w:val="0"/>
                <w:sz w:val="24"/>
              </w:rPr>
              <w:t>容积率0.73，建筑密度24.5%，绿地率35%。</w:t>
            </w:r>
          </w:p>
          <w:p>
            <w:pPr>
              <w:spacing w:line="360" w:lineRule="auto"/>
              <w:ind w:firstLine="480" w:firstLineChars="200"/>
              <w:rPr>
                <w:rFonts w:ascii="Times New Roman" w:hAnsi="Times New Roman"/>
                <w:kern w:val="0"/>
                <w:sz w:val="24"/>
              </w:rPr>
            </w:pPr>
            <w:r>
              <w:rPr>
                <w:rFonts w:ascii="Times New Roman" w:hAnsi="Arial"/>
                <w:kern w:val="0"/>
                <w:sz w:val="24"/>
              </w:rPr>
              <w:t>项目实际建设情况与环评相比，用地面积不变，总建筑面积</w:t>
            </w:r>
            <w:r>
              <w:rPr>
                <w:rFonts w:hint="eastAsia" w:ascii="Times New Roman" w:hAnsi="Times New Roman"/>
                <w:kern w:val="0"/>
                <w:sz w:val="24"/>
              </w:rPr>
              <w:t>65947.65</w:t>
            </w:r>
            <w:r>
              <w:rPr>
                <w:rFonts w:ascii="Times New Roman" w:hAnsi="Arial"/>
                <w:kern w:val="0"/>
                <w:sz w:val="24"/>
              </w:rPr>
              <w:t>平方米，与环评审批的面积相比增加了</w:t>
            </w:r>
            <w:r>
              <w:rPr>
                <w:rFonts w:hint="eastAsia" w:ascii="Times New Roman" w:hAnsi="Times New Roman"/>
                <w:kern w:val="0"/>
                <w:sz w:val="24"/>
              </w:rPr>
              <w:t>574.98</w:t>
            </w:r>
            <w:r>
              <w:rPr>
                <w:rFonts w:ascii="Times New Roman" w:hAnsi="Arial"/>
                <w:kern w:val="0"/>
                <w:sz w:val="24"/>
              </w:rPr>
              <w:t>平方米，占审批总建筑面积的</w:t>
            </w:r>
            <w:r>
              <w:rPr>
                <w:rFonts w:hint="eastAsia" w:ascii="Times New Roman" w:hAnsi="Times New Roman"/>
                <w:kern w:val="0"/>
                <w:sz w:val="24"/>
              </w:rPr>
              <w:t>0.88</w:t>
            </w:r>
            <w:r>
              <w:rPr>
                <w:rFonts w:ascii="Times New Roman" w:hAnsi="Times New Roman"/>
                <w:kern w:val="0"/>
                <w:sz w:val="24"/>
              </w:rPr>
              <w:t>%</w:t>
            </w:r>
            <w:r>
              <w:rPr>
                <w:rFonts w:ascii="Times New Roman" w:hAnsi="Arial"/>
                <w:kern w:val="0"/>
                <w:sz w:val="24"/>
              </w:rPr>
              <w:t>，各功能分类经济技术指标存在部分变动，</w:t>
            </w:r>
            <w:r>
              <w:rPr>
                <w:rFonts w:hint="eastAsia" w:ascii="Times New Roman" w:hAnsi="Arial"/>
                <w:kern w:val="0"/>
                <w:sz w:val="24"/>
              </w:rPr>
              <w:t>实际建筑容积率0.71，建筑密度25%，绿地率35%。</w:t>
            </w:r>
            <w:r>
              <w:rPr>
                <w:rFonts w:ascii="Times New Roman" w:hAnsi="Arial"/>
                <w:kern w:val="0"/>
                <w:sz w:val="24"/>
              </w:rPr>
              <w:t>不属于重大变动，符合竣工环境保护验收条件。</w:t>
            </w:r>
          </w:p>
          <w:p>
            <w:pPr>
              <w:spacing w:line="360" w:lineRule="auto"/>
              <w:ind w:firstLine="480" w:firstLineChars="200"/>
              <w:rPr>
                <w:rFonts w:ascii="Times New Roman" w:hAnsi="Arial"/>
                <w:kern w:val="0"/>
                <w:sz w:val="24"/>
              </w:rPr>
            </w:pPr>
            <w:r>
              <w:rPr>
                <w:rFonts w:ascii="Times New Roman" w:hAnsi="Arial"/>
                <w:kern w:val="0"/>
                <w:sz w:val="24"/>
              </w:rPr>
              <w:t>根据原环评和项目竣工图，原环评经济技术指标见表</w:t>
            </w:r>
            <w:r>
              <w:rPr>
                <w:rFonts w:ascii="Times New Roman" w:hAnsi="Times New Roman"/>
                <w:kern w:val="0"/>
                <w:sz w:val="24"/>
              </w:rPr>
              <w:t>2-4</w:t>
            </w:r>
            <w:r>
              <w:rPr>
                <w:rFonts w:ascii="Times New Roman" w:hAnsi="Arial"/>
                <w:kern w:val="0"/>
                <w:sz w:val="24"/>
              </w:rPr>
              <w:t>，实际主要经济技术指标见表</w:t>
            </w:r>
            <w:r>
              <w:rPr>
                <w:rFonts w:ascii="Times New Roman" w:hAnsi="Times New Roman"/>
                <w:kern w:val="0"/>
                <w:sz w:val="24"/>
              </w:rPr>
              <w:t>2-5</w:t>
            </w:r>
            <w:r>
              <w:rPr>
                <w:rFonts w:ascii="Times New Roman" w:hAnsi="Arial"/>
                <w:kern w:val="0"/>
                <w:sz w:val="24"/>
              </w:rPr>
              <w:t>。</w:t>
            </w:r>
          </w:p>
          <w:p>
            <w:pPr>
              <w:spacing w:line="360" w:lineRule="auto"/>
              <w:jc w:val="center"/>
              <w:rPr>
                <w:rFonts w:ascii="Times New Roman" w:hAnsi="Times New Roman"/>
                <w:b/>
                <w:kern w:val="0"/>
                <w:sz w:val="20"/>
                <w:szCs w:val="21"/>
              </w:rPr>
            </w:pPr>
            <w:r>
              <w:rPr>
                <w:rFonts w:hint="eastAsia" w:ascii="Times New Roman" w:hAnsi="Arial"/>
                <w:b/>
                <w:kern w:val="0"/>
                <w:sz w:val="20"/>
                <w:szCs w:val="21"/>
              </w:rPr>
              <w:t>表2-4 原环评技术经济指标一览表</w:t>
            </w:r>
          </w:p>
          <w:tbl>
            <w:tblPr>
              <w:tblStyle w:val="33"/>
              <w:tblW w:w="13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570"/>
              <w:gridCol w:w="2118"/>
              <w:gridCol w:w="771"/>
              <w:gridCol w:w="1484"/>
              <w:gridCol w:w="2751"/>
              <w:gridCol w:w="2751"/>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676" w:hRule="atLeast"/>
              </w:trPr>
              <w:tc>
                <w:tcPr>
                  <w:tcW w:w="1183"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szCs w:val="21"/>
                    </w:rPr>
                  </w:pPr>
                  <w:r>
                    <w:rPr>
                      <w:rFonts w:ascii="Times New Roman" w:hAnsi="Times New Roman"/>
                      <w:b/>
                      <w:bCs/>
                      <w:szCs w:val="21"/>
                    </w:rPr>
                    <w:t>项目</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szCs w:val="21"/>
                    </w:rPr>
                  </w:pPr>
                  <w:r>
                    <w:rPr>
                      <w:rFonts w:ascii="Times New Roman" w:hAnsi="Times New Roman"/>
                      <w:b/>
                      <w:bCs/>
                      <w:szCs w:val="21"/>
                    </w:rPr>
                    <w:t>单位</w:t>
                  </w:r>
                </w:p>
              </w:tc>
              <w:tc>
                <w:tcPr>
                  <w:tcW w:w="539" w:type="pct"/>
                  <w:tcBorders>
                    <w:top w:val="single" w:color="auto" w:sz="4" w:space="0"/>
                    <w:left w:val="single" w:color="auto" w:sz="4" w:space="0"/>
                    <w:right w:val="single" w:color="auto" w:sz="4" w:space="0"/>
                  </w:tcBorders>
                  <w:vAlign w:val="center"/>
                </w:tcPr>
                <w:p>
                  <w:pPr>
                    <w:jc w:val="center"/>
                    <w:rPr>
                      <w:rFonts w:ascii="Times New Roman" w:hAnsi="Times New Roman"/>
                      <w:b/>
                      <w:bCs/>
                      <w:szCs w:val="21"/>
                    </w:rPr>
                  </w:pPr>
                  <w:r>
                    <w:rPr>
                      <w:rFonts w:ascii="Times New Roman" w:hAnsi="Times New Roman"/>
                      <w:b/>
                      <w:bCs/>
                      <w:szCs w:val="21"/>
                    </w:rPr>
                    <w:t>设计指标</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szCs w:val="21"/>
                    </w:rPr>
                  </w:pPr>
                  <w:r>
                    <w:rPr>
                      <w:rFonts w:ascii="Times New Roman" w:hAnsi="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总用地面积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67588</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总建筑面积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65372.67</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20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976"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地上建筑面积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49369.95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20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小学部</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21922</w:t>
                  </w:r>
                </w:p>
              </w:tc>
              <w:tc>
                <w:tcPr>
                  <w:tcW w:w="999"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共计师生3026人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初中部</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16442</w:t>
                  </w:r>
                </w:p>
              </w:tc>
              <w:tc>
                <w:tcPr>
                  <w:tcW w:w="999"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食堂</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4678.46</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体育馆</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4551.32</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连廊等</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1675.29</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门卫</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100</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976"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地下建筑面积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231972</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20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非机动车地下车库</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1708.99</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207"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机动车地下车库</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14293.73</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83"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建筑占地面积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16573.2</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999" w:type="pct"/>
                </w:tcPr>
                <w:p>
                  <w:pPr>
                    <w:widowControl/>
                    <w:jc w:val="left"/>
                    <w:rPr>
                      <w:rFonts w:ascii="Times New Roman" w:hAnsi="Times New Roman"/>
                      <w:szCs w:val="21"/>
                    </w:rPr>
                  </w:pPr>
                </w:p>
              </w:tc>
              <w:tc>
                <w:tcPr>
                  <w:tcW w:w="1000" w:type="pct"/>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容积率</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0.73</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建筑密度</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24.5%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绿地率</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35%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355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20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976"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地上机动车停车位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26</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207"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976"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地下机动车停车位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329</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非机动车停车位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815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976"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地上非机动车停车位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315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976"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地下非机动车停车位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500</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bl>
          <w:p>
            <w:pPr>
              <w:jc w:val="center"/>
              <w:rPr>
                <w:rFonts w:ascii="Times New Roman" w:hAnsi="Times New Roman"/>
                <w:b/>
                <w:kern w:val="0"/>
                <w:sz w:val="20"/>
                <w:szCs w:val="21"/>
              </w:rPr>
            </w:pPr>
            <w:r>
              <w:rPr>
                <w:rFonts w:ascii="Times New Roman" w:hAnsi="Arial"/>
                <w:b/>
                <w:kern w:val="0"/>
                <w:sz w:val="20"/>
                <w:szCs w:val="21"/>
              </w:rPr>
              <w:t>表</w:t>
            </w:r>
            <w:r>
              <w:rPr>
                <w:rFonts w:ascii="Times New Roman" w:hAnsi="Times New Roman"/>
                <w:b/>
                <w:kern w:val="0"/>
                <w:sz w:val="20"/>
                <w:szCs w:val="21"/>
              </w:rPr>
              <w:t xml:space="preserve">2-5 </w:t>
            </w:r>
            <w:r>
              <w:rPr>
                <w:rFonts w:ascii="Times New Roman" w:hAnsi="Arial"/>
                <w:b/>
                <w:kern w:val="0"/>
                <w:sz w:val="20"/>
                <w:szCs w:val="21"/>
              </w:rPr>
              <w:t>实际主要经济技术指标一览表</w:t>
            </w:r>
          </w:p>
          <w:tbl>
            <w:tblPr>
              <w:tblStyle w:val="33"/>
              <w:tblW w:w="13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570"/>
              <w:gridCol w:w="132"/>
              <w:gridCol w:w="1985"/>
              <w:gridCol w:w="771"/>
              <w:gridCol w:w="1484"/>
              <w:gridCol w:w="2751"/>
              <w:gridCol w:w="2751"/>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676" w:hRule="atLeast"/>
              </w:trPr>
              <w:tc>
                <w:tcPr>
                  <w:tcW w:w="1183"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szCs w:val="21"/>
                    </w:rPr>
                  </w:pPr>
                  <w:r>
                    <w:rPr>
                      <w:rFonts w:ascii="Times New Roman" w:hAnsi="Times New Roman"/>
                      <w:b/>
                      <w:bCs/>
                      <w:szCs w:val="21"/>
                    </w:rPr>
                    <w:t>项目</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szCs w:val="21"/>
                    </w:rPr>
                  </w:pPr>
                  <w:r>
                    <w:rPr>
                      <w:rFonts w:ascii="Times New Roman" w:hAnsi="Times New Roman"/>
                      <w:b/>
                      <w:bCs/>
                      <w:szCs w:val="21"/>
                    </w:rPr>
                    <w:t>单位</w:t>
                  </w:r>
                </w:p>
              </w:tc>
              <w:tc>
                <w:tcPr>
                  <w:tcW w:w="539" w:type="pct"/>
                  <w:tcBorders>
                    <w:top w:val="single" w:color="auto" w:sz="4" w:space="0"/>
                    <w:left w:val="single" w:color="auto" w:sz="4" w:space="0"/>
                    <w:right w:val="single" w:color="auto" w:sz="4" w:space="0"/>
                  </w:tcBorders>
                  <w:vAlign w:val="center"/>
                </w:tcPr>
                <w:p>
                  <w:pPr>
                    <w:jc w:val="center"/>
                    <w:rPr>
                      <w:rFonts w:ascii="Times New Roman" w:hAnsi="Times New Roman"/>
                      <w:b/>
                      <w:bCs/>
                      <w:szCs w:val="21"/>
                    </w:rPr>
                  </w:pPr>
                  <w:r>
                    <w:rPr>
                      <w:rFonts w:ascii="Times New Roman" w:hAnsi="Times New Roman"/>
                      <w:b/>
                      <w:bCs/>
                      <w:szCs w:val="21"/>
                    </w:rPr>
                    <w:t>设计指标</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bCs/>
                      <w:szCs w:val="21"/>
                    </w:rPr>
                  </w:pPr>
                  <w:r>
                    <w:rPr>
                      <w:rFonts w:ascii="Times New Roman" w:hAnsi="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总用地面积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67588</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总建筑面积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65947.65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20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976"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地上建筑面积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47766.02</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20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76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小学部</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22699.33</w:t>
                  </w:r>
                </w:p>
              </w:tc>
              <w:tc>
                <w:tcPr>
                  <w:tcW w:w="999"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办学规模为63个班级，</w:t>
                  </w:r>
                  <w:r>
                    <w:rPr>
                      <w:rFonts w:hint="eastAsia" w:ascii="Times New Roman" w:hAnsi="Times New Roman"/>
                      <w:color w:val="FF0000"/>
                      <w:szCs w:val="21"/>
                    </w:rPr>
                    <w:t>共计师生3118人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76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初中部</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16193.11</w:t>
                  </w:r>
                </w:p>
              </w:tc>
              <w:tc>
                <w:tcPr>
                  <w:tcW w:w="999"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76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食堂</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4605.33</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76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体育馆</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2638.07</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76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连廊等</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1492.2</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0" w:type="auto"/>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76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门卫</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78.65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976"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地下建筑面积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18181.63</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20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76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体育馆</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2054.83</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207"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76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食堂</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1639.12</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207"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76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地下车库</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14487.68</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83"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建筑占地面积</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16865.43</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999" w:type="pct"/>
                </w:tcPr>
                <w:p>
                  <w:pPr>
                    <w:widowControl/>
                    <w:jc w:val="left"/>
                    <w:rPr>
                      <w:rFonts w:ascii="Times New Roman" w:hAnsi="Times New Roman"/>
                      <w:szCs w:val="21"/>
                    </w:rPr>
                  </w:pPr>
                </w:p>
              </w:tc>
              <w:tc>
                <w:tcPr>
                  <w:tcW w:w="1000" w:type="pct"/>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容积率</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0.71</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建筑密度</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24.5%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绿地率</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35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363</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20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976"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地上机动车停车位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含大巴车位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207" w:type="pct"/>
                  <w:vMerge w:val="continue"/>
                  <w:tcBorders>
                    <w:left w:val="single" w:color="auto" w:sz="4" w:space="0"/>
                    <w:right w:val="single" w:color="auto" w:sz="4" w:space="0"/>
                  </w:tcBorders>
                  <w:vAlign w:val="center"/>
                </w:tcPr>
                <w:p>
                  <w:pPr>
                    <w:jc w:val="center"/>
                    <w:rPr>
                      <w:rFonts w:ascii="Times New Roman" w:hAnsi="Times New Roman"/>
                      <w:szCs w:val="21"/>
                    </w:rPr>
                  </w:pPr>
                </w:p>
              </w:tc>
              <w:tc>
                <w:tcPr>
                  <w:tcW w:w="976"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地下机动车停车位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338</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207" w:type="pct"/>
                  <w:vMerge w:val="continue"/>
                  <w:tcBorders>
                    <w:left w:val="single" w:color="auto" w:sz="4" w:space="0"/>
                    <w:right w:val="single" w:color="auto" w:sz="4" w:space="0"/>
                  </w:tcBorders>
                  <w:vAlign w:val="center"/>
                </w:tcPr>
                <w:p>
                  <w:pPr>
                    <w:jc w:val="center"/>
                    <w:rPr>
                      <w:rFonts w:ascii="Times New Roman" w:hAnsi="Times New Roman"/>
                      <w:szCs w:val="21"/>
                    </w:rPr>
                  </w:pPr>
                </w:p>
              </w:tc>
              <w:tc>
                <w:tcPr>
                  <w:tcW w:w="255" w:type="pct"/>
                  <w:gridSpan w:val="2"/>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其中</w:t>
                  </w: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无障碍车位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13</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207"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255" w:type="pct"/>
                  <w:gridSpan w:val="2"/>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c>
                <w:tcPr>
                  <w:tcW w:w="72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充电桩车位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55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非机动车停车位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815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其中</w:t>
                  </w:r>
                </w:p>
              </w:tc>
              <w:tc>
                <w:tcPr>
                  <w:tcW w:w="976"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地上非机动车停车位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315</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0" w:type="auto"/>
                  <w:vMerge w:val="continue"/>
                  <w:tcBorders>
                    <w:left w:val="single" w:color="auto" w:sz="4" w:space="0"/>
                    <w:right w:val="single" w:color="auto" w:sz="4" w:space="0"/>
                  </w:tcBorders>
                  <w:vAlign w:val="center"/>
                </w:tcPr>
                <w:p>
                  <w:pPr>
                    <w:jc w:val="center"/>
                    <w:rPr>
                      <w:rFonts w:ascii="Times New Roman" w:hAnsi="Times New Roman"/>
                      <w:szCs w:val="21"/>
                    </w:rPr>
                  </w:pPr>
                </w:p>
              </w:tc>
              <w:tc>
                <w:tcPr>
                  <w:tcW w:w="976"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地下非机动车停车位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500</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4"/>
                  <w:tcBorders>
                    <w:left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大巴停车位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3</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99" w:type="pct"/>
                <w:trHeight w:val="333" w:hRule="atLeast"/>
              </w:trPr>
              <w:tc>
                <w:tcPr>
                  <w:tcW w:w="1183" w:type="pct"/>
                  <w:gridSpan w:val="4"/>
                  <w:tcBorders>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装卸车位</w:t>
                  </w:r>
                </w:p>
              </w:tc>
              <w:tc>
                <w:tcPr>
                  <w:tcW w:w="28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个</w:t>
                  </w:r>
                </w:p>
              </w:tc>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r>
          </w:tbl>
          <w:p>
            <w:pPr>
              <w:spacing w:line="360" w:lineRule="auto"/>
              <w:ind w:firstLine="480" w:firstLineChars="200"/>
              <w:rPr>
                <w:rFonts w:ascii="Times New Roman" w:hAnsi="Times New Roman"/>
                <w:kern w:val="0"/>
                <w:sz w:val="24"/>
              </w:rPr>
            </w:pPr>
            <w:r>
              <w:rPr>
                <w:rFonts w:ascii="Times New Roman" w:hAnsi="Arial"/>
                <w:kern w:val="0"/>
                <w:sz w:val="24"/>
              </w:rPr>
              <w:t>根据项目竣工图与现场踏勘，项目主要设备布置见表</w:t>
            </w:r>
            <w:r>
              <w:rPr>
                <w:rFonts w:ascii="Times New Roman" w:hAnsi="Times New Roman"/>
                <w:kern w:val="0"/>
                <w:sz w:val="24"/>
              </w:rPr>
              <w:t>2-</w:t>
            </w:r>
            <w:r>
              <w:rPr>
                <w:rFonts w:hint="eastAsia" w:ascii="Times New Roman" w:hAnsi="Times New Roman"/>
                <w:kern w:val="0"/>
                <w:sz w:val="24"/>
              </w:rPr>
              <w:t>6</w:t>
            </w:r>
            <w:r>
              <w:rPr>
                <w:rFonts w:ascii="Times New Roman" w:hAnsi="Arial"/>
                <w:kern w:val="0"/>
                <w:sz w:val="24"/>
              </w:rPr>
              <w:t>，其它环保相关功能布局见表</w:t>
            </w:r>
            <w:r>
              <w:rPr>
                <w:rFonts w:ascii="Times New Roman" w:hAnsi="Times New Roman"/>
                <w:kern w:val="0"/>
                <w:sz w:val="24"/>
              </w:rPr>
              <w:t>2-</w:t>
            </w:r>
            <w:r>
              <w:rPr>
                <w:rFonts w:hint="eastAsia" w:ascii="Times New Roman" w:hAnsi="Times New Roman"/>
                <w:kern w:val="0"/>
                <w:sz w:val="24"/>
              </w:rPr>
              <w:t>7</w:t>
            </w:r>
            <w:r>
              <w:rPr>
                <w:rFonts w:ascii="Times New Roman" w:hAnsi="Arial"/>
                <w:kern w:val="0"/>
                <w:sz w:val="24"/>
              </w:rPr>
              <w:t>。</w:t>
            </w:r>
          </w:p>
          <w:p>
            <w:pPr>
              <w:spacing w:line="360" w:lineRule="auto"/>
              <w:ind w:firstLine="480" w:firstLineChars="200"/>
              <w:rPr>
                <w:rFonts w:ascii="Times New Roman" w:hAnsi="Arial"/>
                <w:kern w:val="0"/>
                <w:sz w:val="24"/>
              </w:rPr>
            </w:pPr>
            <w:r>
              <w:rPr>
                <w:rFonts w:ascii="Times New Roman" w:hAnsi="Arial"/>
                <w:kern w:val="0"/>
                <w:sz w:val="24"/>
              </w:rPr>
              <w:t>根据表</w:t>
            </w:r>
            <w:r>
              <w:rPr>
                <w:rFonts w:ascii="Times New Roman" w:hAnsi="Times New Roman"/>
                <w:kern w:val="0"/>
                <w:sz w:val="24"/>
              </w:rPr>
              <w:t>2-</w:t>
            </w:r>
            <w:r>
              <w:rPr>
                <w:rFonts w:hint="eastAsia" w:ascii="Times New Roman" w:hAnsi="Times New Roman"/>
                <w:kern w:val="0"/>
                <w:sz w:val="24"/>
              </w:rPr>
              <w:t>6</w:t>
            </w:r>
            <w:r>
              <w:rPr>
                <w:rFonts w:ascii="Times New Roman" w:hAnsi="Arial"/>
                <w:kern w:val="0"/>
                <w:sz w:val="24"/>
              </w:rPr>
              <w:t>可知项目主要设备布置与环评</w:t>
            </w:r>
            <w:r>
              <w:rPr>
                <w:rFonts w:hint="eastAsia" w:ascii="Times New Roman" w:hAnsi="Arial"/>
                <w:kern w:val="0"/>
                <w:sz w:val="24"/>
              </w:rPr>
              <w:t>基本一致</w:t>
            </w:r>
            <w:r>
              <w:rPr>
                <w:rFonts w:ascii="Times New Roman" w:hAnsi="Arial"/>
                <w:kern w:val="0"/>
                <w:sz w:val="24"/>
              </w:rPr>
              <w:t>，根据表</w:t>
            </w:r>
            <w:r>
              <w:rPr>
                <w:rFonts w:ascii="Times New Roman" w:hAnsi="Times New Roman"/>
                <w:kern w:val="0"/>
                <w:sz w:val="24"/>
              </w:rPr>
              <w:t>2-6</w:t>
            </w:r>
            <w:r>
              <w:rPr>
                <w:rFonts w:ascii="Times New Roman" w:hAnsi="Arial"/>
                <w:kern w:val="0"/>
                <w:sz w:val="24"/>
              </w:rPr>
              <w:t>可知项目其它环保相关功能布局与原环评基本一致，局部调整。以上部分的变动是根据</w:t>
            </w:r>
            <w:r>
              <w:rPr>
                <w:rFonts w:hint="eastAsia" w:ascii="Times New Roman" w:hAnsi="Arial"/>
                <w:kern w:val="0"/>
                <w:sz w:val="24"/>
              </w:rPr>
              <w:t>项目</w:t>
            </w:r>
            <w:r>
              <w:rPr>
                <w:rFonts w:ascii="Times New Roman" w:hAnsi="Arial"/>
                <w:kern w:val="0"/>
                <w:sz w:val="24"/>
              </w:rPr>
              <w:t>实际运营情况进行的变动，不构成重大变动。</w:t>
            </w:r>
          </w:p>
          <w:p>
            <w:pPr>
              <w:spacing w:line="360" w:lineRule="auto"/>
              <w:jc w:val="center"/>
              <w:rPr>
                <w:rFonts w:ascii="Times New Roman" w:hAnsi="Times New Roman"/>
                <w:b/>
                <w:kern w:val="0"/>
                <w:sz w:val="20"/>
                <w:szCs w:val="21"/>
              </w:rPr>
            </w:pPr>
            <w:r>
              <w:rPr>
                <w:rFonts w:hint="eastAsia" w:ascii="Times New Roman" w:hAnsi="Arial"/>
                <w:b/>
                <w:kern w:val="0"/>
                <w:sz w:val="20"/>
                <w:szCs w:val="21"/>
              </w:rPr>
              <w:t>表2-6 项目主要设备布置变化情况</w:t>
            </w:r>
          </w:p>
          <w:tbl>
            <w:tblPr>
              <w:tblStyle w:val="33"/>
              <w:tblW w:w="4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609"/>
              <w:gridCol w:w="1138"/>
              <w:gridCol w:w="1651"/>
              <w:gridCol w:w="1027"/>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功能</w:t>
                  </w:r>
                </w:p>
              </w:tc>
              <w:tc>
                <w:tcPr>
                  <w:tcW w:w="9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设备名称</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规格型号</w:t>
                  </w:r>
                  <w:r>
                    <w:rPr>
                      <w:rFonts w:ascii="Times New Roman" w:hAnsi="Times New Roman"/>
                      <w:szCs w:val="21"/>
                    </w:rPr>
                    <w:t>/</w:t>
                  </w:r>
                  <w:r>
                    <w:rPr>
                      <w:rFonts w:ascii="Times New Roman" w:hAnsi="Arial"/>
                      <w:szCs w:val="21"/>
                    </w:rPr>
                    <w:t>规模</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环评数量</w:t>
                  </w:r>
                </w:p>
              </w:tc>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实际数量</w:t>
                  </w:r>
                </w:p>
              </w:tc>
              <w:tc>
                <w:tcPr>
                  <w:tcW w:w="13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供水</w:t>
                  </w:r>
                </w:p>
              </w:tc>
              <w:tc>
                <w:tcPr>
                  <w:tcW w:w="9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水泵</w:t>
                  </w:r>
                  <w:r>
                    <w:rPr>
                      <w:rFonts w:hint="eastAsia" w:ascii="Times New Roman" w:hAnsi="Arial"/>
                      <w:szCs w:val="21"/>
                    </w:rPr>
                    <w:t>（水泵房及水箱）</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w:t>
                  </w:r>
                  <w:r>
                    <w:rPr>
                      <w:rFonts w:hint="eastAsia" w:ascii="Times New Roman" w:hAnsi="Arial"/>
                      <w:szCs w:val="21"/>
                    </w:rPr>
                    <w:t>台（一个生活水泵房）</w:t>
                  </w:r>
                </w:p>
              </w:tc>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w:t>
                  </w:r>
                  <w:r>
                    <w:rPr>
                      <w:rFonts w:hint="eastAsia" w:ascii="Times New Roman" w:hAnsi="Arial"/>
                      <w:szCs w:val="21"/>
                    </w:rPr>
                    <w:t>台</w:t>
                  </w:r>
                </w:p>
              </w:tc>
              <w:tc>
                <w:tcPr>
                  <w:tcW w:w="13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Arial"/>
                      <w:szCs w:val="21"/>
                    </w:rPr>
                    <w:t>与环评一致，位于田径场地下室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消防</w:t>
                  </w:r>
                </w:p>
              </w:tc>
              <w:tc>
                <w:tcPr>
                  <w:tcW w:w="9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消防水泵（消防水泵及水池）</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2台（一个消防泵房）</w:t>
                  </w:r>
                </w:p>
              </w:tc>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2台</w:t>
                  </w:r>
                </w:p>
              </w:tc>
              <w:tc>
                <w:tcPr>
                  <w:tcW w:w="13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与环评一致，位于地下室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供电</w:t>
                  </w:r>
                </w:p>
              </w:tc>
              <w:tc>
                <w:tcPr>
                  <w:tcW w:w="9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开闭所</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1处</w:t>
                  </w:r>
                </w:p>
              </w:tc>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1处</w:t>
                  </w:r>
                </w:p>
              </w:tc>
              <w:tc>
                <w:tcPr>
                  <w:tcW w:w="1316"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与环评一致，位于田径场地下室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szCs w:val="21"/>
                    </w:rPr>
                  </w:pPr>
                </w:p>
              </w:tc>
              <w:tc>
                <w:tcPr>
                  <w:tcW w:w="9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配电房（变压器）</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1250KVA</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2台</w:t>
                  </w:r>
                </w:p>
              </w:tc>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2台</w:t>
                  </w:r>
                </w:p>
              </w:tc>
              <w:tc>
                <w:tcPr>
                  <w:tcW w:w="1316"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通风</w:t>
                  </w:r>
                </w:p>
              </w:tc>
              <w:tc>
                <w:tcPr>
                  <w:tcW w:w="9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Arial"/>
                      <w:szCs w:val="21"/>
                    </w:rPr>
                    <w:t>风机（</w:t>
                  </w:r>
                  <w:r>
                    <w:rPr>
                      <w:rFonts w:ascii="Times New Roman" w:hAnsi="Arial"/>
                      <w:szCs w:val="21"/>
                    </w:rPr>
                    <w:t>排风机房</w:t>
                  </w:r>
                  <w:r>
                    <w:rPr>
                      <w:rFonts w:hint="eastAsia" w:ascii="Times New Roman" w:hAnsi="Arial"/>
                      <w:szCs w:val="21"/>
                    </w:rPr>
                    <w:t>）</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6</w:t>
                  </w:r>
                  <w:r>
                    <w:rPr>
                      <w:rFonts w:ascii="Times New Roman" w:hAnsi="Arial"/>
                      <w:szCs w:val="21"/>
                    </w:rPr>
                    <w:t>个</w:t>
                  </w:r>
                </w:p>
              </w:tc>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6</w:t>
                  </w:r>
                  <w:r>
                    <w:rPr>
                      <w:rFonts w:ascii="Times New Roman" w:hAnsi="Arial"/>
                      <w:szCs w:val="21"/>
                    </w:rPr>
                    <w:t>个</w:t>
                  </w:r>
                </w:p>
              </w:tc>
              <w:tc>
                <w:tcPr>
                  <w:tcW w:w="13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Arial"/>
                      <w:szCs w:val="21"/>
                    </w:rPr>
                    <w:t>与环评一致，位于地下室各防火分区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供热</w:t>
                  </w:r>
                </w:p>
              </w:tc>
              <w:tc>
                <w:tcPr>
                  <w:tcW w:w="98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锅炉房</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0.5吨燃气热水</w:t>
                  </w:r>
                  <w:r>
                    <w:rPr>
                      <w:rFonts w:ascii="Times New Roman" w:hAnsi="Arial"/>
                      <w:szCs w:val="21"/>
                    </w:rPr>
                    <w:t>锅炉</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w:t>
                  </w:r>
                  <w:r>
                    <w:rPr>
                      <w:rFonts w:ascii="Times New Roman" w:hAnsi="Arial"/>
                      <w:szCs w:val="21"/>
                    </w:rPr>
                    <w:t>台</w:t>
                  </w:r>
                </w:p>
              </w:tc>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w:t>
                  </w:r>
                  <w:r>
                    <w:rPr>
                      <w:rFonts w:ascii="Times New Roman" w:hAnsi="Arial"/>
                      <w:szCs w:val="21"/>
                    </w:rPr>
                    <w:t>台</w:t>
                  </w:r>
                </w:p>
              </w:tc>
              <w:tc>
                <w:tcPr>
                  <w:tcW w:w="13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FF0000"/>
                      <w:szCs w:val="21"/>
                    </w:rPr>
                  </w:pPr>
                  <w:r>
                    <w:rPr>
                      <w:rFonts w:hint="eastAsia" w:ascii="Times New Roman" w:hAnsi="Arial"/>
                      <w:color w:val="FF0000"/>
                      <w:szCs w:val="21"/>
                    </w:rPr>
                    <w:t>锅炉数量及型号发生变化，</w:t>
                  </w:r>
                  <w:r>
                    <w:rPr>
                      <w:rFonts w:ascii="Times New Roman" w:hAnsi="Arial"/>
                      <w:color w:val="FF0000"/>
                      <w:szCs w:val="21"/>
                    </w:rPr>
                    <w:t>一用一备</w:t>
                  </w:r>
                  <w:r>
                    <w:rPr>
                      <w:rFonts w:hint="eastAsia" w:ascii="Times New Roman" w:hAnsi="Arial"/>
                      <w:color w:val="FF0000"/>
                      <w:szCs w:val="21"/>
                    </w:rPr>
                    <w:t>，型号分别为0.8</w:t>
                  </w:r>
                  <w:r>
                    <w:rPr>
                      <w:rFonts w:hint="eastAsia" w:ascii="Times New Roman" w:hAnsi="Arial"/>
                      <w:color w:val="FF0000"/>
                      <w:szCs w:val="21"/>
                      <w:lang w:val="en-US" w:eastAsia="zh-CN"/>
                    </w:rPr>
                    <w:t>3</w:t>
                  </w:r>
                  <w:r>
                    <w:rPr>
                      <w:rFonts w:hint="eastAsia" w:ascii="Times New Roman" w:hAnsi="Arial"/>
                      <w:color w:val="FF0000"/>
                      <w:szCs w:val="21"/>
                    </w:rPr>
                    <w:t>吨、0.5吨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restart"/>
                  <w:tcBorders>
                    <w:top w:val="single" w:color="auto" w:sz="4" w:space="0"/>
                    <w:left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暖通</w:t>
                  </w:r>
                </w:p>
              </w:tc>
              <w:tc>
                <w:tcPr>
                  <w:tcW w:w="985" w:type="pct"/>
                  <w:vMerge w:val="restart"/>
                  <w:tcBorders>
                    <w:top w:val="single" w:color="auto" w:sz="4" w:space="0"/>
                    <w:left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空调室外机</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分体式</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c>
                <w:tcPr>
                  <w:tcW w:w="13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与环评一致，教学楼等区域均采用分体空调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tcBorders>
                    <w:left w:val="single" w:color="auto" w:sz="4" w:space="0"/>
                    <w:right w:val="single" w:color="auto" w:sz="4" w:space="0"/>
                  </w:tcBorders>
                  <w:vAlign w:val="center"/>
                </w:tcPr>
                <w:p>
                  <w:pPr>
                    <w:jc w:val="center"/>
                    <w:rPr>
                      <w:rFonts w:ascii="Times New Roman" w:hAnsi="Arial"/>
                      <w:szCs w:val="21"/>
                    </w:rPr>
                  </w:pPr>
                </w:p>
              </w:tc>
              <w:tc>
                <w:tcPr>
                  <w:tcW w:w="985" w:type="pct"/>
                  <w:vMerge w:val="continue"/>
                  <w:tcBorders>
                    <w:left w:val="single" w:color="auto" w:sz="4" w:space="0"/>
                    <w:right w:val="single" w:color="auto" w:sz="4" w:space="0"/>
                  </w:tcBorders>
                  <w:vAlign w:val="center"/>
                </w:tcPr>
                <w:p>
                  <w:pPr>
                    <w:jc w:val="center"/>
                    <w:rPr>
                      <w:rFonts w:ascii="Times New Roman" w:hAnsi="Arial"/>
                      <w:szCs w:val="21"/>
                    </w:rPr>
                  </w:pP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多联式</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w:t>
                  </w:r>
                </w:p>
              </w:tc>
              <w:tc>
                <w:tcPr>
                  <w:tcW w:w="13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与环评一致，综合楼、图书馆、多功能厅、食堂的教师餐厅等部分采用多联式空调机组（VRV）中央空调系统加新风系统的空调形式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left w:val="single" w:color="auto" w:sz="4" w:space="0"/>
                    <w:right w:val="single" w:color="auto" w:sz="4" w:space="0"/>
                  </w:tcBorders>
                  <w:vAlign w:val="center"/>
                </w:tcPr>
                <w:p>
                  <w:pPr>
                    <w:jc w:val="center"/>
                    <w:rPr>
                      <w:rFonts w:ascii="Times New Roman" w:hAnsi="Arial"/>
                      <w:szCs w:val="21"/>
                    </w:rPr>
                  </w:pPr>
                  <w:r>
                    <w:rPr>
                      <w:rFonts w:hint="eastAsia"/>
                    </w:rPr>
                    <w:t>注：①本项目锅炉房用于地下室温水游泳池卫生热水和池水加热的热源</w:t>
                  </w:r>
                </w:p>
              </w:tc>
            </w:tr>
          </w:tbl>
          <w:p>
            <w:pPr>
              <w:pStyle w:val="80"/>
              <w:rPr>
                <w:sz w:val="20"/>
              </w:rPr>
            </w:pPr>
            <w:r>
              <w:rPr>
                <w:rFonts w:hint="eastAsia"/>
                <w:sz w:val="20"/>
              </w:rPr>
              <w:t>表2-7其他环保相关功能布局变化情况</w:t>
            </w:r>
          </w:p>
          <w:tbl>
            <w:tblPr>
              <w:tblStyle w:val="33"/>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160"/>
              <w:gridCol w:w="3001"/>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bookmarkStart w:id="2" w:name="_Toc260243090"/>
                  <w:r>
                    <w:rPr>
                      <w:rFonts w:ascii="Times New Roman" w:hAnsi="Arial"/>
                      <w:szCs w:val="21"/>
                    </w:rPr>
                    <w:t>功能</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功能性建筑名称</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环评布置情况</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实际布置情况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地下车库出入</w:t>
                  </w:r>
                  <w:r>
                    <w:rPr>
                      <w:rFonts w:hint="eastAsia" w:ascii="Times New Roman" w:hAnsi="Arial"/>
                      <w:szCs w:val="21"/>
                    </w:rPr>
                    <w:t>口</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地下车库</w:t>
                  </w:r>
                </w:p>
                <w:p>
                  <w:pPr>
                    <w:jc w:val="center"/>
                    <w:rPr>
                      <w:rFonts w:ascii="Times New Roman" w:hAnsi="Times New Roman"/>
                      <w:szCs w:val="21"/>
                    </w:rPr>
                  </w:pPr>
                  <w:r>
                    <w:rPr>
                      <w:rFonts w:ascii="Times New Roman" w:hAnsi="Arial"/>
                      <w:szCs w:val="21"/>
                    </w:rPr>
                    <w:t>出入口</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2处，一号出入口位于运动场 1#南侧；二号出入口位于初中教学楼南侧</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共</w:t>
                  </w:r>
                  <w:r>
                    <w:rPr>
                      <w:rFonts w:hint="eastAsia" w:ascii="Times New Roman" w:hAnsi="Times New Roman"/>
                      <w:szCs w:val="21"/>
                    </w:rPr>
                    <w:t>2</w:t>
                  </w:r>
                  <w:r>
                    <w:rPr>
                      <w:rFonts w:ascii="Times New Roman" w:hAnsi="Arial"/>
                      <w:szCs w:val="21"/>
                    </w:rPr>
                    <w:t>处，</w:t>
                  </w:r>
                  <w:r>
                    <w:rPr>
                      <w:rFonts w:hint="eastAsia" w:ascii="Times New Roman" w:hAnsi="Times New Roman"/>
                      <w:szCs w:val="21"/>
                    </w:rPr>
                    <w:t>二号</w:t>
                  </w:r>
                  <w:r>
                    <w:rPr>
                      <w:rFonts w:hint="eastAsia" w:ascii="Times New Roman" w:hAnsi="Arial"/>
                      <w:szCs w:val="21"/>
                    </w:rPr>
                    <w:t>出入口位于初中教学楼南侧；一号出入口位于运动场地1#西北侧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汽车尾气排放</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地下车库</w:t>
                  </w:r>
                </w:p>
                <w:p>
                  <w:pPr>
                    <w:jc w:val="center"/>
                    <w:rPr>
                      <w:rFonts w:ascii="Times New Roman" w:hAnsi="Times New Roman"/>
                      <w:color w:val="000000" w:themeColor="text1"/>
                      <w:szCs w:val="21"/>
                    </w:rPr>
                  </w:pPr>
                  <w:r>
                    <w:rPr>
                      <w:rFonts w:ascii="Times New Roman" w:hAnsi="Arial"/>
                      <w:color w:val="000000" w:themeColor="text1"/>
                      <w:szCs w:val="21"/>
                    </w:rPr>
                    <w:t>尾气井</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共</w:t>
                  </w:r>
                  <w:r>
                    <w:rPr>
                      <w:rFonts w:hint="eastAsia" w:ascii="Times New Roman" w:hAnsi="Times New Roman"/>
                      <w:color w:val="000000" w:themeColor="text1"/>
                      <w:szCs w:val="21"/>
                    </w:rPr>
                    <w:t>8</w:t>
                  </w:r>
                  <w:r>
                    <w:rPr>
                      <w:rFonts w:ascii="Times New Roman" w:hAnsi="Arial"/>
                      <w:color w:val="000000" w:themeColor="text1"/>
                      <w:szCs w:val="21"/>
                    </w:rPr>
                    <w:t>个</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油烟排放</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油烟井</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共</w:t>
                  </w:r>
                  <w:r>
                    <w:rPr>
                      <w:rFonts w:hint="eastAsia" w:ascii="Times New Roman" w:hAnsi="Times New Roman"/>
                      <w:color w:val="000000" w:themeColor="text1"/>
                      <w:szCs w:val="21"/>
                    </w:rPr>
                    <w:t>1</w:t>
                  </w:r>
                  <w:r>
                    <w:rPr>
                      <w:rFonts w:ascii="Times New Roman" w:hAnsi="Arial"/>
                      <w:color w:val="000000" w:themeColor="text1"/>
                      <w:szCs w:val="21"/>
                    </w:rPr>
                    <w:t>个，</w:t>
                  </w:r>
                  <w:r>
                    <w:rPr>
                      <w:rFonts w:hint="eastAsia" w:ascii="Times New Roman" w:hAnsi="Arial"/>
                      <w:color w:val="000000" w:themeColor="text1"/>
                      <w:szCs w:val="21"/>
                    </w:rPr>
                    <w:t>位于食堂屋顶东南角</w:t>
                  </w:r>
                  <w:r>
                    <w:rPr>
                      <w:rFonts w:ascii="Times New Roman" w:hAnsi="Times New Roman"/>
                      <w:color w:val="000000" w:themeColor="text1"/>
                      <w:szCs w:val="21"/>
                    </w:rPr>
                    <w:t xml:space="preserve"> </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共2个，位于食堂屋顶北侧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锅炉烟气排放</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Arial"/>
                      <w:color w:val="000000" w:themeColor="text1"/>
                      <w:szCs w:val="21"/>
                    </w:rPr>
                    <w:t>燃气锅炉烟气井</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共</w:t>
                  </w:r>
                  <w:r>
                    <w:rPr>
                      <w:rFonts w:hint="eastAsia" w:ascii="Times New Roman" w:hAnsi="Times New Roman"/>
                      <w:color w:val="000000" w:themeColor="text1"/>
                      <w:szCs w:val="21"/>
                    </w:rPr>
                    <w:t>1</w:t>
                  </w:r>
                  <w:r>
                    <w:rPr>
                      <w:rFonts w:ascii="Times New Roman" w:hAnsi="Arial"/>
                      <w:color w:val="000000" w:themeColor="text1"/>
                      <w:szCs w:val="21"/>
                    </w:rPr>
                    <w:t>处，</w:t>
                  </w:r>
                  <w:r>
                    <w:rPr>
                      <w:rFonts w:hint="eastAsia" w:ascii="Times New Roman" w:hAnsi="Arial"/>
                      <w:color w:val="000000" w:themeColor="text1"/>
                      <w:szCs w:val="21"/>
                    </w:rPr>
                    <w:t>位于体育馆屋顶北侧</w:t>
                  </w:r>
                  <w:r>
                    <w:rPr>
                      <w:rFonts w:ascii="Times New Roman" w:hAnsi="Times New Roman"/>
                      <w:color w:val="000000" w:themeColor="text1"/>
                      <w:szCs w:val="21"/>
                    </w:rPr>
                    <w:t xml:space="preserve"> </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废水预处理</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隔油池</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共1个，钢筋混凝土隔油池，位于食堂北侧</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隔油池1个，采用成品玻璃钢制品，位于食堂北侧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废水预处理</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化粪池</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共3个，钢筋混凝土化粪池，分别位于体育馆南侧、小学教学楼南侧、初中教学楼南侧</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化粪池3个，采用成品玻璃钢制品，位置与环评一致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ascii="Times New Roman" w:hAnsi="Arial"/>
                      <w:color w:val="000000" w:themeColor="text1"/>
                      <w:szCs w:val="21"/>
                    </w:rPr>
                    <w:t>废水预处理</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color w:val="000000" w:themeColor="text1"/>
                      <w:szCs w:val="21"/>
                    </w:rPr>
                  </w:pPr>
                  <w:r>
                    <w:rPr>
                      <w:rFonts w:hint="eastAsia" w:ascii="Times New Roman" w:hAnsi="Arial"/>
                      <w:color w:val="000000" w:themeColor="text1"/>
                      <w:szCs w:val="21"/>
                    </w:rPr>
                    <w:t>中和池</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color w:val="000000" w:themeColor="text1"/>
                      <w:szCs w:val="21"/>
                    </w:rPr>
                  </w:pPr>
                  <w:r>
                    <w:rPr>
                      <w:rFonts w:hint="eastAsia" w:ascii="Times New Roman" w:hAnsi="Arial"/>
                      <w:color w:val="000000" w:themeColor="text1"/>
                      <w:szCs w:val="21"/>
                    </w:rPr>
                    <w:t>共1个，位于初中教学楼北侧</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设2座中和池，分别位于初中教学楼南侧和北侧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废水预处理</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水处理设施</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Arial"/>
                      <w:szCs w:val="21"/>
                    </w:rPr>
                  </w:pPr>
                  <w:r>
                    <w:rPr>
                      <w:rFonts w:hint="eastAsia" w:ascii="Times New Roman" w:hAnsi="Arial"/>
                      <w:szCs w:val="21"/>
                    </w:rPr>
                    <w:t>共1个，采用机械循环水处理系统，位于地下室</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在体育馆地下室设水处理设施处理游泳池废水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废水出路</w:t>
                  </w:r>
                </w:p>
              </w:tc>
              <w:tc>
                <w:tcPr>
                  <w:tcW w:w="70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废水接管</w:t>
                  </w:r>
                </w:p>
                <w:p>
                  <w:pPr>
                    <w:jc w:val="center"/>
                    <w:rPr>
                      <w:rFonts w:ascii="Times New Roman" w:hAnsi="Times New Roman"/>
                      <w:szCs w:val="21"/>
                    </w:rPr>
                  </w:pPr>
                  <w:r>
                    <w:rPr>
                      <w:rFonts w:ascii="Times New Roman" w:hAnsi="Arial"/>
                      <w:szCs w:val="21"/>
                    </w:rPr>
                    <w:t>位置</w:t>
                  </w:r>
                </w:p>
              </w:tc>
              <w:tc>
                <w:tcPr>
                  <w:tcW w:w="183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Arial"/>
                      <w:szCs w:val="21"/>
                    </w:rPr>
                    <w:t>纳入市政污水管网</w:t>
                  </w:r>
                </w:p>
              </w:tc>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FF0000"/>
                      <w:szCs w:val="21"/>
                    </w:rPr>
                  </w:pPr>
                  <w:r>
                    <w:rPr>
                      <w:rFonts w:ascii="Times New Roman" w:hAnsi="Arial"/>
                      <w:color w:val="FF0000"/>
                      <w:szCs w:val="21"/>
                    </w:rPr>
                    <w:t>纳入</w:t>
                  </w:r>
                  <w:r>
                    <w:rPr>
                      <w:rFonts w:hint="eastAsia" w:ascii="Times New Roman" w:hAnsi="Arial"/>
                      <w:color w:val="FF0000"/>
                      <w:szCs w:val="21"/>
                    </w:rPr>
                    <w:t>南侧天华路的</w:t>
                  </w:r>
                  <w:r>
                    <w:rPr>
                      <w:rFonts w:ascii="Times New Roman" w:hAnsi="Arial"/>
                      <w:color w:val="FF0000"/>
                      <w:szCs w:val="21"/>
                    </w:rPr>
                    <w:t>市政污水管网</w:t>
                  </w:r>
                  <w:r>
                    <w:rPr>
                      <w:rFonts w:hint="eastAsia" w:ascii="Times New Roman" w:hAnsi="Arial"/>
                      <w:color w:val="FF0000"/>
                      <w:szCs w:val="21"/>
                    </w:rPr>
                    <w:t>，共2个排放口</w:t>
                  </w:r>
                </w:p>
              </w:tc>
            </w:tr>
            <w:bookmarkEnd w:id="2"/>
          </w:tbl>
          <w:p>
            <w:pPr>
              <w:spacing w:line="360" w:lineRule="auto"/>
              <w:ind w:firstLine="482" w:firstLineChars="200"/>
              <w:rPr>
                <w:rFonts w:ascii="Times New Roman" w:hAnsi="Times New Roman"/>
                <w:b/>
                <w:bCs/>
                <w:kern w:val="0"/>
                <w:sz w:val="24"/>
              </w:rPr>
            </w:pPr>
            <w:r>
              <w:rPr>
                <w:rFonts w:ascii="Times New Roman" w:hAnsi="Times New Roman"/>
                <w:b/>
                <w:bCs/>
                <w:kern w:val="0"/>
                <w:sz w:val="24"/>
              </w:rPr>
              <w:t>2.7</w:t>
            </w:r>
            <w:r>
              <w:rPr>
                <w:rFonts w:ascii="Times New Roman" w:hAnsi="Arial"/>
                <w:b/>
                <w:bCs/>
                <w:kern w:val="0"/>
                <w:sz w:val="24"/>
              </w:rPr>
              <w:t>工程变动情况</w:t>
            </w:r>
          </w:p>
          <w:p>
            <w:pPr>
              <w:overflowPunct w:val="0"/>
              <w:autoSpaceDE w:val="0"/>
              <w:autoSpaceDN w:val="0"/>
              <w:adjustRightInd w:val="0"/>
              <w:spacing w:line="360" w:lineRule="auto"/>
              <w:ind w:firstLine="480" w:firstLineChars="200"/>
              <w:rPr>
                <w:rFonts w:ascii="Times New Roman" w:hAnsi="Times New Roman"/>
                <w:kern w:val="0"/>
                <w:sz w:val="24"/>
              </w:rPr>
            </w:pPr>
            <w:r>
              <w:rPr>
                <w:rFonts w:ascii="Times New Roman" w:hAnsi="Arial"/>
                <w:color w:val="FF0000"/>
                <w:kern w:val="0"/>
                <w:sz w:val="24"/>
              </w:rPr>
              <w:t>经</w:t>
            </w:r>
            <w:r>
              <w:rPr>
                <w:rFonts w:ascii="Times New Roman" w:hAnsi="Arial"/>
                <w:color w:val="FF0000"/>
                <w:kern w:val="0"/>
                <w:sz w:val="24"/>
              </w:rPr>
              <w:t>现场核查，本项目工程性质、规模、建设地点、污染防治措施与环评</w:t>
            </w:r>
            <w:r>
              <w:rPr>
                <w:rFonts w:hint="eastAsia" w:ascii="Times New Roman" w:hAnsi="Arial"/>
                <w:color w:val="FF0000"/>
                <w:kern w:val="0"/>
                <w:sz w:val="24"/>
              </w:rPr>
              <w:t>相比</w:t>
            </w:r>
            <w:r>
              <w:rPr>
                <w:rFonts w:ascii="Times New Roman" w:hAnsi="Arial"/>
                <w:color w:val="FF0000"/>
                <w:kern w:val="0"/>
                <w:sz w:val="24"/>
              </w:rPr>
              <w:t>主要变动情况为见表</w:t>
            </w:r>
            <w:r>
              <w:rPr>
                <w:rFonts w:ascii="Times New Roman" w:hAnsi="Times New Roman"/>
                <w:color w:val="FF0000"/>
                <w:kern w:val="0"/>
                <w:sz w:val="24"/>
              </w:rPr>
              <w:t>2-</w:t>
            </w:r>
            <w:r>
              <w:rPr>
                <w:rFonts w:hint="eastAsia" w:ascii="Times New Roman" w:hAnsi="Times New Roman"/>
                <w:color w:val="FF0000"/>
                <w:kern w:val="0"/>
                <w:sz w:val="24"/>
              </w:rPr>
              <w:t>8</w:t>
            </w:r>
            <w:r>
              <w:rPr>
                <w:rFonts w:ascii="Times New Roman" w:hAnsi="Arial"/>
                <w:kern w:val="0"/>
                <w:sz w:val="24"/>
              </w:rPr>
              <w:t>。</w:t>
            </w:r>
          </w:p>
          <w:p>
            <w:pPr>
              <w:pStyle w:val="13"/>
              <w:spacing w:beforeLines="20" w:line="288" w:lineRule="auto"/>
              <w:jc w:val="center"/>
              <w:rPr>
                <w:rFonts w:ascii="Times New Roman" w:hAnsi="Times New Roman"/>
                <w:b/>
                <w:bCs/>
                <w:kern w:val="0"/>
                <w:sz w:val="20"/>
                <w:szCs w:val="21"/>
              </w:rPr>
            </w:pPr>
            <w:r>
              <w:rPr>
                <w:rFonts w:ascii="Times New Roman" w:hAnsi="Arial"/>
                <w:b/>
                <w:bCs/>
                <w:kern w:val="0"/>
                <w:sz w:val="20"/>
                <w:szCs w:val="21"/>
              </w:rPr>
              <w:t>表</w:t>
            </w:r>
            <w:r>
              <w:rPr>
                <w:rFonts w:ascii="Times New Roman" w:hAnsi="Times New Roman"/>
                <w:b/>
                <w:bCs/>
                <w:kern w:val="0"/>
                <w:sz w:val="20"/>
                <w:szCs w:val="21"/>
              </w:rPr>
              <w:t>2-</w:t>
            </w:r>
            <w:r>
              <w:rPr>
                <w:rFonts w:hint="eastAsia" w:ascii="Times New Roman" w:hAnsi="Times New Roman"/>
                <w:b/>
                <w:bCs/>
                <w:kern w:val="0"/>
                <w:sz w:val="20"/>
                <w:szCs w:val="21"/>
              </w:rPr>
              <w:t>8</w:t>
            </w:r>
            <w:r>
              <w:rPr>
                <w:rFonts w:ascii="Times New Roman" w:hAnsi="Times New Roman"/>
                <w:b/>
                <w:bCs/>
                <w:kern w:val="0"/>
                <w:sz w:val="20"/>
                <w:szCs w:val="21"/>
              </w:rPr>
              <w:t xml:space="preserve"> </w:t>
            </w:r>
            <w:r>
              <w:rPr>
                <w:rFonts w:ascii="Times New Roman" w:hAnsi="Arial"/>
                <w:b/>
                <w:bCs/>
                <w:kern w:val="0"/>
                <w:sz w:val="20"/>
                <w:szCs w:val="21"/>
              </w:rPr>
              <w:t>建设项目工程变动符合性分析表</w:t>
            </w:r>
          </w:p>
          <w:tbl>
            <w:tblPr>
              <w:tblStyle w:val="3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269"/>
              <w:gridCol w:w="2219"/>
              <w:gridCol w:w="2057"/>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9"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工程内容</w:t>
                  </w:r>
                </w:p>
              </w:tc>
              <w:tc>
                <w:tcPr>
                  <w:tcW w:w="136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环评及批复要求</w:t>
                  </w:r>
                </w:p>
              </w:tc>
              <w:tc>
                <w:tcPr>
                  <w:tcW w:w="133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实际建设情况</w:t>
                  </w:r>
                </w:p>
              </w:tc>
              <w:tc>
                <w:tcPr>
                  <w:tcW w:w="1240"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变动情况及原因</w:t>
                  </w:r>
                </w:p>
              </w:tc>
              <w:tc>
                <w:tcPr>
                  <w:tcW w:w="542"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性质</w:t>
                  </w:r>
                </w:p>
              </w:tc>
              <w:tc>
                <w:tcPr>
                  <w:tcW w:w="136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新建</w:t>
                  </w:r>
                </w:p>
              </w:tc>
              <w:tc>
                <w:tcPr>
                  <w:tcW w:w="133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新建</w:t>
                  </w:r>
                </w:p>
              </w:tc>
              <w:tc>
                <w:tcPr>
                  <w:tcW w:w="1240"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与环评一致</w:t>
                  </w:r>
                </w:p>
              </w:tc>
              <w:tc>
                <w:tcPr>
                  <w:tcW w:w="542"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规模</w:t>
                  </w:r>
                </w:p>
              </w:tc>
              <w:tc>
                <w:tcPr>
                  <w:tcW w:w="136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both"/>
                    <w:rPr>
                      <w:rFonts w:cs="Times New Roman"/>
                      <w:sz w:val="21"/>
                      <w:szCs w:val="21"/>
                    </w:rPr>
                  </w:pPr>
                  <w:r>
                    <w:rPr>
                      <w:rFonts w:cs="Times New Roman"/>
                      <w:sz w:val="21"/>
                      <w:szCs w:val="21"/>
                    </w:rPr>
                    <w:t>项目总用地面积约为67588平方米，设计建设总建筑面积65372.67平方米。建设1幢小学教学楼（含实验室、图书馆、多功能厅）、1幢初中教学楼（含实验室、综合楼、行政办公楼、阶梯教室）、1幢体育馆（含室内游泳池）、1个田径场、2个运动场、1个食堂。</w:t>
                  </w:r>
                </w:p>
              </w:tc>
              <w:tc>
                <w:tcPr>
                  <w:tcW w:w="133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both"/>
                    <w:rPr>
                      <w:rFonts w:cs="Times New Roman"/>
                      <w:sz w:val="21"/>
                      <w:szCs w:val="21"/>
                    </w:rPr>
                  </w:pPr>
                  <w:r>
                    <w:rPr>
                      <w:rFonts w:cs="Times New Roman"/>
                      <w:sz w:val="21"/>
                      <w:szCs w:val="21"/>
                    </w:rPr>
                    <w:t>项目总用地面积约为67588平方米，总建筑面积65372.67平方米。建设1幢小学教学楼（含实验室、图书馆、多功能厅）、1幢初中教学楼（含实验室、综合楼、行政办公楼、阶梯教室）、1幢体育馆（含室内游泳池）、1个田径场、2个运动场、1个食堂。</w:t>
                  </w:r>
                </w:p>
              </w:tc>
              <w:tc>
                <w:tcPr>
                  <w:tcW w:w="1240" w:type="pct"/>
                  <w:tcBorders>
                    <w:top w:val="single" w:color="auto" w:sz="4" w:space="0"/>
                    <w:left w:val="single" w:color="auto" w:sz="4" w:space="0"/>
                    <w:bottom w:val="single" w:color="auto" w:sz="4" w:space="0"/>
                    <w:right w:val="single" w:color="auto" w:sz="4" w:space="0"/>
                  </w:tcBorders>
                  <w:vAlign w:val="center"/>
                </w:tcPr>
                <w:p>
                  <w:pPr>
                    <w:autoSpaceDE w:val="0"/>
                    <w:autoSpaceDN w:val="0"/>
                    <w:rPr>
                      <w:rFonts w:ascii="Times New Roman" w:hAnsi="Times New Roman"/>
                      <w:kern w:val="0"/>
                      <w:sz w:val="21"/>
                      <w:szCs w:val="21"/>
                    </w:rPr>
                  </w:pPr>
                  <w:bookmarkStart w:id="3" w:name="_Hlk160624367"/>
                  <w:r>
                    <w:rPr>
                      <w:rFonts w:ascii="Times New Roman" w:hAnsi="Times New Roman"/>
                      <w:kern w:val="0"/>
                      <w:sz w:val="21"/>
                      <w:szCs w:val="21"/>
                    </w:rPr>
                    <w:t>用地面积与环评一致，建筑面积增加574.98m</w:t>
                  </w:r>
                  <w:r>
                    <w:rPr>
                      <w:rFonts w:ascii="Times New Roman" w:hAnsi="Times New Roman"/>
                      <w:kern w:val="0"/>
                      <w:sz w:val="21"/>
                      <w:szCs w:val="21"/>
                      <w:vertAlign w:val="superscript"/>
                    </w:rPr>
                    <w:t>2</w:t>
                  </w:r>
                  <w:r>
                    <w:rPr>
                      <w:rFonts w:ascii="Times New Roman" w:hAnsi="Times New Roman"/>
                      <w:kern w:val="0"/>
                      <w:sz w:val="21"/>
                      <w:szCs w:val="21"/>
                    </w:rPr>
                    <w:t>，增加面积仅占原环评审批建筑面积的0.88%。</w:t>
                  </w:r>
                  <w:bookmarkEnd w:id="3"/>
                </w:p>
              </w:tc>
              <w:tc>
                <w:tcPr>
                  <w:tcW w:w="542"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地点</w:t>
                  </w:r>
                </w:p>
              </w:tc>
              <w:tc>
                <w:tcPr>
                  <w:tcW w:w="136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both"/>
                    <w:rPr>
                      <w:rFonts w:cs="Times New Roman"/>
                      <w:sz w:val="21"/>
                      <w:szCs w:val="21"/>
                    </w:rPr>
                  </w:pPr>
                  <w:r>
                    <w:rPr>
                      <w:rFonts w:cs="Times New Roman"/>
                      <w:sz w:val="21"/>
                      <w:szCs w:val="21"/>
                    </w:rPr>
                    <w:t>本项目位于杭州市临平区星桥街道，东南至临丁路，西南至天华路，西北至天韵路，东北至星乐小区二区</w:t>
                  </w:r>
                </w:p>
              </w:tc>
              <w:tc>
                <w:tcPr>
                  <w:tcW w:w="133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both"/>
                    <w:rPr>
                      <w:rFonts w:cs="Times New Roman"/>
                      <w:sz w:val="21"/>
                      <w:szCs w:val="21"/>
                    </w:rPr>
                  </w:pPr>
                  <w:r>
                    <w:rPr>
                      <w:rFonts w:cs="Times New Roman"/>
                      <w:sz w:val="21"/>
                      <w:szCs w:val="21"/>
                    </w:rPr>
                    <w:t>本项目位于杭州市临平区</w:t>
                  </w:r>
                  <w:r>
                    <w:rPr>
                      <w:rFonts w:hint="eastAsia" w:cs="Times New Roman"/>
                      <w:sz w:val="21"/>
                      <w:szCs w:val="21"/>
                      <w:lang w:val="en-US" w:eastAsia="zh-CN"/>
                    </w:rPr>
                    <w:t>临丁路66号</w:t>
                  </w:r>
                  <w:r>
                    <w:rPr>
                      <w:rFonts w:cs="Times New Roman"/>
                      <w:sz w:val="21"/>
                      <w:szCs w:val="21"/>
                    </w:rPr>
                    <w:t>，东南至临丁路，西南至天华路，西北至天韵路，东北至星乐小区二区</w:t>
                  </w:r>
                </w:p>
              </w:tc>
              <w:tc>
                <w:tcPr>
                  <w:tcW w:w="124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kern w:val="0"/>
                      <w:sz w:val="21"/>
                      <w:szCs w:val="21"/>
                    </w:rPr>
                  </w:pPr>
                  <w:r>
                    <w:rPr>
                      <w:rFonts w:ascii="Times New Roman" w:hAnsi="Times New Roman"/>
                      <w:kern w:val="0"/>
                      <w:sz w:val="21"/>
                      <w:szCs w:val="21"/>
                    </w:rPr>
                    <w:t>与环评一致</w:t>
                  </w:r>
                </w:p>
              </w:tc>
              <w:tc>
                <w:tcPr>
                  <w:tcW w:w="542"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color w:val="000000" w:themeColor="text1"/>
                      <w:sz w:val="21"/>
                      <w:szCs w:val="21"/>
                    </w:rPr>
                  </w:pPr>
                  <w:r>
                    <w:rPr>
                      <w:rFonts w:cs="Times New Roman"/>
                      <w:color w:val="000000" w:themeColor="text1"/>
                      <w:sz w:val="21"/>
                      <w:szCs w:val="21"/>
                    </w:rPr>
                    <w:t>定位</w:t>
                  </w:r>
                </w:p>
              </w:tc>
              <w:tc>
                <w:tcPr>
                  <w:tcW w:w="136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color w:val="000000" w:themeColor="text1"/>
                      <w:sz w:val="21"/>
                      <w:szCs w:val="21"/>
                    </w:rPr>
                  </w:pPr>
                  <w:r>
                    <w:rPr>
                      <w:rFonts w:cs="Times New Roman"/>
                      <w:color w:val="000000" w:themeColor="text1"/>
                      <w:sz w:val="21"/>
                      <w:szCs w:val="21"/>
                    </w:rPr>
                    <w:t>九年一贯制学校</w:t>
                  </w:r>
                </w:p>
              </w:tc>
              <w:tc>
                <w:tcPr>
                  <w:tcW w:w="133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color w:val="000000" w:themeColor="text1"/>
                      <w:sz w:val="21"/>
                      <w:szCs w:val="21"/>
                    </w:rPr>
                  </w:pPr>
                  <w:r>
                    <w:rPr>
                      <w:rFonts w:cs="Times New Roman"/>
                      <w:color w:val="000000" w:themeColor="text1"/>
                      <w:sz w:val="21"/>
                      <w:szCs w:val="21"/>
                    </w:rPr>
                    <w:t>九年一贯制学校</w:t>
                  </w:r>
                </w:p>
              </w:tc>
              <w:tc>
                <w:tcPr>
                  <w:tcW w:w="1240"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与环评一致</w:t>
                  </w:r>
                </w:p>
              </w:tc>
              <w:tc>
                <w:tcPr>
                  <w:tcW w:w="542"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highlight w:val="yellow"/>
                    </w:rPr>
                  </w:pPr>
                  <w:r>
                    <w:rPr>
                      <w:rFonts w:cs="Times New Roman"/>
                      <w:sz w:val="21"/>
                      <w:szCs w:val="21"/>
                    </w:rPr>
                    <w:t>废水治理</w:t>
                  </w:r>
                </w:p>
              </w:tc>
              <w:tc>
                <w:tcPr>
                  <w:tcW w:w="1368" w:type="pct"/>
                  <w:tcBorders>
                    <w:top w:val="single" w:color="auto" w:sz="4" w:space="0"/>
                    <w:left w:val="single" w:color="auto" w:sz="4" w:space="0"/>
                    <w:bottom w:val="single" w:color="auto" w:sz="4" w:space="0"/>
                    <w:right w:val="single" w:color="auto" w:sz="4" w:space="0"/>
                  </w:tcBorders>
                  <w:vAlign w:val="center"/>
                </w:tcPr>
                <w:p>
                  <w:pPr>
                    <w:pStyle w:val="77"/>
                    <w:spacing w:line="240" w:lineRule="auto"/>
                    <w:jc w:val="left"/>
                    <w:rPr>
                      <w:rFonts w:cs="Times New Roman"/>
                      <w:sz w:val="21"/>
                      <w:szCs w:val="21"/>
                      <w:highlight w:val="yellow"/>
                    </w:rPr>
                  </w:pPr>
                  <w:r>
                    <w:rPr>
                      <w:rFonts w:cs="Times New Roman"/>
                      <w:sz w:val="21"/>
                      <w:szCs w:val="21"/>
                    </w:rPr>
                    <w:t>加强废水污染防治。游泳池用水循环使用，当不能满足回用要求时与实验废水、生活污水须经收集处理达《污水综合排放标准》（GB 8978-1996）中三级标准后排入污水管网送污水处理厂处理。</w:t>
                  </w:r>
                </w:p>
              </w:tc>
              <w:tc>
                <w:tcPr>
                  <w:tcW w:w="133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 w:val="21"/>
                      <w:szCs w:val="21"/>
                    </w:rPr>
                  </w:pPr>
                  <w:r>
                    <w:rPr>
                      <w:rFonts w:ascii="Times New Roman" w:hAnsi="Times New Roman"/>
                      <w:kern w:val="0"/>
                      <w:sz w:val="21"/>
                      <w:szCs w:val="21"/>
                    </w:rPr>
                    <w:t>①生活污水中的冲厕污水经化粪池预处理后排入城市道路的市政污水管；</w:t>
                  </w:r>
                </w:p>
                <w:p>
                  <w:pPr>
                    <w:rPr>
                      <w:rFonts w:ascii="Times New Roman" w:hAnsi="Times New Roman"/>
                      <w:kern w:val="0"/>
                      <w:sz w:val="21"/>
                      <w:szCs w:val="21"/>
                    </w:rPr>
                  </w:pPr>
                  <w:r>
                    <w:rPr>
                      <w:rFonts w:ascii="Times New Roman" w:hAnsi="Times New Roman"/>
                      <w:kern w:val="0"/>
                      <w:sz w:val="21"/>
                      <w:szCs w:val="21"/>
                    </w:rPr>
                    <w:t>②实验室废水经中和池处理后排入城市道路的市政污水管；</w:t>
                  </w:r>
                </w:p>
                <w:p>
                  <w:pPr>
                    <w:rPr>
                      <w:rFonts w:ascii="Times New Roman" w:hAnsi="Times New Roman"/>
                      <w:kern w:val="0"/>
                      <w:sz w:val="21"/>
                      <w:szCs w:val="21"/>
                    </w:rPr>
                  </w:pPr>
                  <w:r>
                    <w:rPr>
                      <w:rFonts w:ascii="Times New Roman" w:hAnsi="Times New Roman"/>
                      <w:kern w:val="0"/>
                      <w:sz w:val="21"/>
                      <w:szCs w:val="21"/>
                    </w:rPr>
                    <w:t>③食堂厨房含油废水经隔油、除渣等预处理后排入城市道路的市政污水管；’</w:t>
                  </w:r>
                </w:p>
                <w:p>
                  <w:pPr>
                    <w:rPr>
                      <w:rFonts w:ascii="Times New Roman" w:hAnsi="Times New Roman"/>
                      <w:kern w:val="0"/>
                      <w:sz w:val="21"/>
                      <w:szCs w:val="21"/>
                    </w:rPr>
                  </w:pPr>
                  <w:r>
                    <w:rPr>
                      <w:rFonts w:ascii="Times New Roman" w:hAnsi="宋体"/>
                      <w:kern w:val="0"/>
                      <w:sz w:val="21"/>
                      <w:szCs w:val="21"/>
                    </w:rPr>
                    <w:t>④游泳池废水平均每个月排放一次，废水需先经过滤除去毛发等杂质，再沉淀去除</w:t>
                  </w:r>
                  <w:r>
                    <w:rPr>
                      <w:rFonts w:ascii="Times New Roman" w:hAnsi="Times New Roman"/>
                      <w:kern w:val="0"/>
                      <w:sz w:val="21"/>
                      <w:szCs w:val="21"/>
                    </w:rPr>
                    <w:t>SS</w:t>
                  </w:r>
                  <w:r>
                    <w:rPr>
                      <w:rFonts w:ascii="Times New Roman" w:hAnsi="宋体"/>
                      <w:kern w:val="0"/>
                      <w:sz w:val="21"/>
                      <w:szCs w:val="21"/>
                    </w:rPr>
                    <w:t>后，与经化粪池预处理后的其它生活污水一道接入污水管网。</w:t>
                  </w:r>
                </w:p>
              </w:tc>
              <w:tc>
                <w:tcPr>
                  <w:tcW w:w="1240"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与环评一致</w:t>
                  </w:r>
                </w:p>
              </w:tc>
              <w:tc>
                <w:tcPr>
                  <w:tcW w:w="542"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废气治理</w:t>
                  </w:r>
                </w:p>
              </w:tc>
              <w:tc>
                <w:tcPr>
                  <w:tcW w:w="1368" w:type="pct"/>
                  <w:tcBorders>
                    <w:top w:val="single" w:color="auto" w:sz="4" w:space="0"/>
                    <w:left w:val="single" w:color="auto" w:sz="4" w:space="0"/>
                    <w:bottom w:val="single" w:color="auto" w:sz="4" w:space="0"/>
                    <w:right w:val="single" w:color="auto" w:sz="4" w:space="0"/>
                  </w:tcBorders>
                  <w:vAlign w:val="center"/>
                </w:tcPr>
                <w:p>
                  <w:pPr>
                    <w:pStyle w:val="71"/>
                    <w:keepNext/>
                    <w:adjustRightInd/>
                    <w:spacing w:before="0" w:line="240" w:lineRule="auto"/>
                    <w:jc w:val="both"/>
                    <w:rPr>
                      <w:rFonts w:cs="Times New Roman"/>
                      <w:sz w:val="21"/>
                      <w:szCs w:val="21"/>
                    </w:rPr>
                  </w:pPr>
                  <w:r>
                    <w:rPr>
                      <w:rFonts w:cs="Times New Roman"/>
                      <w:kern w:val="2"/>
                      <w:sz w:val="21"/>
                      <w:szCs w:val="21"/>
                    </w:rPr>
                    <w:t>加强废气污染防治。做好地下车库汽车尾气、实验室废气、燃气锅炉废气及食堂油烟废气的防治工作，锅炉废气须经收集处理达到《锅炉大气污染物排放标准》（GB13271-2014）表3的燃气锅炉特别排放限值后排放，食堂油烟废气须经收集处理达到《饮食业油烟排放标准》（GB18483-2001）相应排放限值后排放</w:t>
                  </w:r>
                </w:p>
              </w:tc>
              <w:tc>
                <w:tcPr>
                  <w:tcW w:w="1338" w:type="pct"/>
                  <w:tcBorders>
                    <w:top w:val="single" w:color="auto" w:sz="4" w:space="0"/>
                    <w:left w:val="single" w:color="auto" w:sz="4" w:space="0"/>
                    <w:bottom w:val="single" w:color="auto" w:sz="4" w:space="0"/>
                    <w:right w:val="single" w:color="auto" w:sz="4" w:space="0"/>
                  </w:tcBorders>
                  <w:vAlign w:val="center"/>
                </w:tcPr>
                <w:p>
                  <w:pPr>
                    <w:pStyle w:val="71"/>
                    <w:keepNext/>
                    <w:adjustRightInd/>
                    <w:spacing w:before="0" w:line="240" w:lineRule="auto"/>
                    <w:jc w:val="both"/>
                    <w:rPr>
                      <w:rFonts w:cs="Times New Roman"/>
                      <w:sz w:val="21"/>
                      <w:szCs w:val="21"/>
                    </w:rPr>
                  </w:pPr>
                  <w:r>
                    <w:rPr>
                      <w:rFonts w:hAnsi="Arial" w:cs="Times New Roman"/>
                      <w:kern w:val="2"/>
                      <w:sz w:val="21"/>
                      <w:szCs w:val="21"/>
                    </w:rPr>
                    <w:t>①</w:t>
                  </w:r>
                  <w:r>
                    <w:rPr>
                      <w:rFonts w:cs="Times New Roman"/>
                      <w:sz w:val="21"/>
                      <w:szCs w:val="21"/>
                    </w:rPr>
                    <w:t>地下车库采用机械排风系统，汽车尾气通过排风机经尾气竖井排放。</w:t>
                  </w:r>
                </w:p>
                <w:p>
                  <w:pPr>
                    <w:pStyle w:val="71"/>
                    <w:keepNext/>
                    <w:adjustRightInd/>
                    <w:spacing w:before="0" w:line="240" w:lineRule="auto"/>
                    <w:jc w:val="both"/>
                    <w:rPr>
                      <w:rFonts w:cs="Times New Roman" w:eastAsiaTheme="minorEastAsia"/>
                      <w:sz w:val="21"/>
                      <w:szCs w:val="21"/>
                    </w:rPr>
                  </w:pPr>
                  <w:r>
                    <w:rPr>
                      <w:rFonts w:hAnsi="Arial" w:cs="Times New Roman"/>
                      <w:kern w:val="2"/>
                      <w:sz w:val="21"/>
                      <w:szCs w:val="21"/>
                    </w:rPr>
                    <w:t>②</w:t>
                  </w:r>
                  <w:r>
                    <w:rPr>
                      <w:rFonts w:cs="Times New Roman" w:eastAsiaTheme="minorEastAsia"/>
                      <w:sz w:val="21"/>
                      <w:szCs w:val="21"/>
                    </w:rPr>
                    <w:t>油烟废气经机械排烟系统收集和油烟净化装置处理后，通过专用竖井引至建筑屋顶高空排放。</w:t>
                  </w:r>
                </w:p>
                <w:p>
                  <w:pPr>
                    <w:pStyle w:val="71"/>
                    <w:keepNext/>
                    <w:adjustRightInd/>
                    <w:spacing w:before="0" w:line="240" w:lineRule="auto"/>
                    <w:jc w:val="both"/>
                    <w:rPr>
                      <w:rFonts w:cs="Times New Roman" w:eastAsiaTheme="minorEastAsia"/>
                      <w:sz w:val="21"/>
                      <w:szCs w:val="21"/>
                    </w:rPr>
                  </w:pPr>
                  <w:r>
                    <w:rPr>
                      <w:rFonts w:hAnsi="宋体" w:cs="Times New Roman"/>
                      <w:kern w:val="2"/>
                      <w:sz w:val="21"/>
                      <w:szCs w:val="21"/>
                    </w:rPr>
                    <w:t>③</w:t>
                  </w:r>
                  <w:r>
                    <w:rPr>
                      <w:rFonts w:cs="Times New Roman" w:eastAsiaTheme="minorEastAsia"/>
                      <w:sz w:val="21"/>
                      <w:szCs w:val="21"/>
                    </w:rPr>
                    <w:t>燃气锅炉废气经机械排烟系统收集后，通过1个专用烟气井高空排放；</w:t>
                  </w:r>
                </w:p>
                <w:p>
                  <w:pPr>
                    <w:pStyle w:val="71"/>
                    <w:keepNext/>
                    <w:adjustRightInd/>
                    <w:spacing w:before="0" w:line="240" w:lineRule="auto"/>
                    <w:jc w:val="both"/>
                    <w:rPr>
                      <w:rFonts w:cs="Times New Roman" w:eastAsiaTheme="minorEastAsia"/>
                      <w:sz w:val="21"/>
                      <w:szCs w:val="21"/>
                    </w:rPr>
                  </w:pPr>
                  <w:r>
                    <w:rPr>
                      <w:rFonts w:hint="eastAsia" w:ascii="宋体" w:hAnsi="宋体" w:cs="宋体"/>
                      <w:sz w:val="21"/>
                      <w:szCs w:val="21"/>
                    </w:rPr>
                    <w:t>④</w:t>
                  </w:r>
                  <w:r>
                    <w:rPr>
                      <w:rFonts w:hint="eastAsia" w:cs="Times New Roman" w:eastAsiaTheme="minorEastAsia"/>
                      <w:color w:val="FF0000"/>
                      <w:sz w:val="21"/>
                      <w:szCs w:val="21"/>
                    </w:rPr>
                    <w:t>实验操作在通风橱内进行，实验室废气无组织排放</w:t>
                  </w:r>
                  <w:r>
                    <w:rPr>
                      <w:rFonts w:cs="Times New Roman" w:eastAsiaTheme="minorEastAsia"/>
                      <w:sz w:val="21"/>
                      <w:szCs w:val="21"/>
                    </w:rPr>
                    <w:t>。</w:t>
                  </w:r>
                </w:p>
              </w:tc>
              <w:tc>
                <w:tcPr>
                  <w:tcW w:w="1240"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both"/>
                    <w:rPr>
                      <w:rFonts w:cs="Times New Roman"/>
                      <w:sz w:val="21"/>
                      <w:szCs w:val="21"/>
                    </w:rPr>
                  </w:pPr>
                  <w:r>
                    <w:rPr>
                      <w:rFonts w:cs="Times New Roman"/>
                      <w:sz w:val="21"/>
                      <w:szCs w:val="21"/>
                    </w:rPr>
                    <w:t>①机动车停车位总数量增加，其中地上停车位数量减少1个，地下停车位数量增加9个，预计地下车库尾气排放量增加</w:t>
                  </w:r>
                  <w:r>
                    <w:rPr>
                      <w:rFonts w:hint="eastAsia" w:cs="Times New Roman"/>
                      <w:sz w:val="21"/>
                      <w:szCs w:val="21"/>
                    </w:rPr>
                    <w:t>，该污染物排放增加不属于项目生产、处置和贮存造成的</w:t>
                  </w:r>
                  <w:r>
                    <w:rPr>
                      <w:rFonts w:cs="Times New Roman"/>
                      <w:sz w:val="21"/>
                      <w:szCs w:val="21"/>
                    </w:rPr>
                    <w:t>。</w:t>
                  </w:r>
                </w:p>
                <w:p>
                  <w:pPr>
                    <w:pStyle w:val="72"/>
                    <w:ind w:right="0" w:firstLine="0" w:firstLineChars="0"/>
                    <w:jc w:val="both"/>
                    <w:rPr>
                      <w:rFonts w:cs="Times New Roman"/>
                      <w:sz w:val="21"/>
                      <w:szCs w:val="21"/>
                    </w:rPr>
                  </w:pPr>
                  <w:r>
                    <w:rPr>
                      <w:rFonts w:cs="Times New Roman"/>
                      <w:sz w:val="21"/>
                      <w:szCs w:val="21"/>
                    </w:rPr>
                    <w:t>②油烟井数量增加。</w:t>
                  </w:r>
                </w:p>
                <w:p>
                  <w:pPr>
                    <w:pStyle w:val="72"/>
                    <w:ind w:right="0" w:firstLine="0" w:firstLineChars="0"/>
                    <w:jc w:val="both"/>
                    <w:rPr>
                      <w:rFonts w:cs="Times New Roman"/>
                      <w:sz w:val="21"/>
                      <w:szCs w:val="21"/>
                    </w:rPr>
                  </w:pPr>
                  <w:r>
                    <w:rPr>
                      <w:rFonts w:cs="Times New Roman"/>
                      <w:sz w:val="21"/>
                      <w:szCs w:val="21"/>
                    </w:rPr>
                    <w:t>③</w:t>
                  </w:r>
                  <w:r>
                    <w:rPr>
                      <w:rFonts w:hint="eastAsia" w:cs="Times New Roman"/>
                      <w:color w:val="FF0000"/>
                      <w:sz w:val="21"/>
                      <w:szCs w:val="21"/>
                    </w:rPr>
                    <w:t>锅炉数量增加，</w:t>
                  </w:r>
                  <w:r>
                    <w:rPr>
                      <w:rFonts w:hint="eastAsia" w:cs="Times New Roman"/>
                      <w:color w:val="FF0000"/>
                      <w:sz w:val="21"/>
                      <w:szCs w:val="21"/>
                      <w:lang w:val="en-US" w:eastAsia="zh-CN"/>
                    </w:rPr>
                    <w:t>共设两台天然气锅炉，一</w:t>
                  </w:r>
                  <w:r>
                    <w:rPr>
                      <w:rFonts w:hint="eastAsia" w:cs="Times New Roman"/>
                      <w:color w:val="FF0000"/>
                      <w:sz w:val="21"/>
                      <w:szCs w:val="21"/>
                    </w:rPr>
                    <w:t>用一备，型号分别为0.8</w:t>
                  </w:r>
                  <w:r>
                    <w:rPr>
                      <w:rFonts w:hint="eastAsia" w:cs="Times New Roman"/>
                      <w:color w:val="FF0000"/>
                      <w:sz w:val="21"/>
                      <w:szCs w:val="21"/>
                      <w:lang w:val="en-US" w:eastAsia="zh-CN"/>
                    </w:rPr>
                    <w:t>3</w:t>
                  </w:r>
                  <w:r>
                    <w:rPr>
                      <w:rFonts w:hint="eastAsia" w:cs="Times New Roman"/>
                      <w:color w:val="FF0000"/>
                      <w:sz w:val="21"/>
                      <w:szCs w:val="21"/>
                    </w:rPr>
                    <w:t>吨、0.5吨，锅炉废气</w:t>
                  </w:r>
                  <w:r>
                    <w:rPr>
                      <w:rFonts w:hint="eastAsia" w:cs="Times New Roman"/>
                      <w:color w:val="FF0000"/>
                      <w:sz w:val="21"/>
                      <w:szCs w:val="21"/>
                      <w:lang w:val="en-US" w:eastAsia="zh-CN"/>
                    </w:rPr>
                    <w:t>分别</w:t>
                  </w:r>
                  <w:r>
                    <w:rPr>
                      <w:rFonts w:hint="eastAsia" w:cs="Times New Roman"/>
                      <w:color w:val="FF0000"/>
                      <w:sz w:val="21"/>
                      <w:szCs w:val="21"/>
                    </w:rPr>
                    <w:t>经</w:t>
                  </w:r>
                  <w:r>
                    <w:rPr>
                      <w:rFonts w:hint="eastAsia" w:cs="Times New Roman"/>
                      <w:color w:val="FF0000"/>
                      <w:sz w:val="21"/>
                      <w:szCs w:val="21"/>
                      <w:lang w:val="en-US" w:eastAsia="zh-CN"/>
                    </w:rPr>
                    <w:t>配套</w:t>
                  </w:r>
                  <w:r>
                    <w:rPr>
                      <w:rFonts w:hint="eastAsia" w:cs="Times New Roman"/>
                      <w:color w:val="FF0000"/>
                      <w:sz w:val="21"/>
                      <w:szCs w:val="21"/>
                    </w:rPr>
                    <w:t>排烟系统收集后</w:t>
                  </w:r>
                  <w:r>
                    <w:rPr>
                      <w:rFonts w:hint="eastAsia" w:cs="Times New Roman"/>
                      <w:color w:val="FF0000"/>
                      <w:sz w:val="21"/>
                      <w:szCs w:val="21"/>
                      <w:lang w:val="en-US" w:eastAsia="zh-CN"/>
                    </w:rPr>
                    <w:t>汇总，</w:t>
                  </w:r>
                  <w:r>
                    <w:rPr>
                      <w:rFonts w:cs="Times New Roman" w:eastAsiaTheme="minorEastAsia"/>
                      <w:color w:val="FF0000"/>
                      <w:sz w:val="21"/>
                      <w:szCs w:val="21"/>
                    </w:rPr>
                    <w:t>通过1个专用烟气井高空排放</w:t>
                  </w:r>
                  <w:r>
                    <w:rPr>
                      <w:rFonts w:hint="eastAsia" w:cs="Times New Roman" w:eastAsiaTheme="minorEastAsia"/>
                      <w:color w:val="FF0000"/>
                      <w:sz w:val="21"/>
                      <w:szCs w:val="21"/>
                    </w:rPr>
                    <w:t>。</w:t>
                  </w:r>
                </w:p>
                <w:p>
                  <w:pPr>
                    <w:pStyle w:val="72"/>
                    <w:ind w:right="0" w:firstLine="0" w:firstLineChars="0"/>
                    <w:jc w:val="both"/>
                    <w:rPr>
                      <w:rFonts w:cs="Times New Roman"/>
                      <w:sz w:val="21"/>
                      <w:szCs w:val="21"/>
                    </w:rPr>
                  </w:pPr>
                  <w:r>
                    <w:rPr>
                      <w:rFonts w:hAnsi="宋体" w:cs="Times New Roman"/>
                      <w:sz w:val="21"/>
                      <w:szCs w:val="21"/>
                    </w:rPr>
                    <w:t>④</w:t>
                  </w:r>
                  <w:r>
                    <w:rPr>
                      <w:rFonts w:hint="eastAsia" w:cs="Times New Roman" w:eastAsiaTheme="minorEastAsia"/>
                      <w:color w:val="FF0000"/>
                      <w:sz w:val="21"/>
                      <w:szCs w:val="21"/>
                    </w:rPr>
                    <w:t>现状实验室内使用的化学品为稀硫酸，氢氧化钠，氢氧化钙，硫酸铜，碳酸钙，碳酸钠，氯化钠等无机化学品，单种化学品年用量均为0.001t/a，仅产生少量酸碱废气，实验操作在通风橱内进行，实验室废气无组织排放</w:t>
                  </w:r>
                </w:p>
              </w:tc>
              <w:tc>
                <w:tcPr>
                  <w:tcW w:w="542"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噪声治理</w:t>
                  </w:r>
                </w:p>
              </w:tc>
              <w:tc>
                <w:tcPr>
                  <w:tcW w:w="1368"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both"/>
                    <w:rPr>
                      <w:rFonts w:cs="Times New Roman"/>
                      <w:kern w:val="2"/>
                      <w:sz w:val="21"/>
                      <w:szCs w:val="21"/>
                      <w:highlight w:val="yellow"/>
                    </w:rPr>
                  </w:pPr>
                  <w:r>
                    <w:rPr>
                      <w:rFonts w:cs="Times New Roman"/>
                      <w:kern w:val="2"/>
                      <w:sz w:val="21"/>
                      <w:szCs w:val="21"/>
                    </w:rPr>
                    <w:t>项目应按环评要求落实各项噪声污染防治措施，对地下车库出入口、泵房、风机房等动力设施采取相应隔声、降噪措施，使项目噪声达到《工业企业厂界环境噪声排放标准》（GB 12348-2008）中相应的规定和标准。</w:t>
                  </w:r>
                </w:p>
              </w:tc>
              <w:tc>
                <w:tcPr>
                  <w:tcW w:w="1338" w:type="pct"/>
                  <w:tcBorders>
                    <w:top w:val="single" w:color="auto" w:sz="4" w:space="0"/>
                    <w:left w:val="single" w:color="auto" w:sz="4" w:space="0"/>
                    <w:bottom w:val="single" w:color="auto" w:sz="4" w:space="0"/>
                    <w:right w:val="single" w:color="auto" w:sz="4" w:space="0"/>
                  </w:tcBorders>
                  <w:vAlign w:val="center"/>
                </w:tcPr>
                <w:p>
                  <w:pPr>
                    <w:pStyle w:val="72"/>
                    <w:ind w:firstLine="0" w:firstLineChars="0"/>
                    <w:rPr>
                      <w:rFonts w:cs="Times New Roman"/>
                      <w:kern w:val="2"/>
                      <w:sz w:val="21"/>
                      <w:szCs w:val="21"/>
                    </w:rPr>
                  </w:pPr>
                  <w:r>
                    <w:rPr>
                      <w:rFonts w:cs="Times New Roman"/>
                      <w:kern w:val="2"/>
                      <w:sz w:val="21"/>
                      <w:szCs w:val="21"/>
                    </w:rPr>
                    <w:t>①除空调室外机外，水泵房、通风机房和变配电间等强噪声源均置于地下，已不是影响教学活动的主要噪声源。</w:t>
                  </w:r>
                </w:p>
                <w:p>
                  <w:pPr>
                    <w:pStyle w:val="72"/>
                    <w:ind w:firstLine="0" w:firstLineChars="0"/>
                    <w:rPr>
                      <w:rFonts w:cs="Times New Roman"/>
                      <w:kern w:val="2"/>
                      <w:sz w:val="21"/>
                      <w:szCs w:val="21"/>
                    </w:rPr>
                  </w:pPr>
                  <w:r>
                    <w:rPr>
                      <w:rFonts w:cs="Times New Roman"/>
                      <w:kern w:val="2"/>
                      <w:sz w:val="21"/>
                      <w:szCs w:val="21"/>
                    </w:rPr>
                    <w:t>②生活水泵均选用低噪音的产品，水泵基础采用减震基础，泵房内均采用弹性减震吊支架；</w:t>
                  </w:r>
                </w:p>
                <w:p>
                  <w:pPr>
                    <w:pStyle w:val="72"/>
                    <w:ind w:firstLine="0" w:firstLineChars="0"/>
                    <w:rPr>
                      <w:rFonts w:cs="Times New Roman"/>
                      <w:kern w:val="2"/>
                      <w:sz w:val="21"/>
                      <w:szCs w:val="21"/>
                    </w:rPr>
                  </w:pPr>
                  <w:r>
                    <w:rPr>
                      <w:rFonts w:cs="Times New Roman"/>
                      <w:kern w:val="2"/>
                      <w:sz w:val="21"/>
                      <w:szCs w:val="21"/>
                    </w:rPr>
                    <w:t>③空调、风机等均采用低噪音型，分机出入口设置消声器，风机房内墙各面均贴50mm厚超细玻璃棉毡，玻璃棉毡以50x50木筋分隔，外覆玻璃布，并用1.0m厚穿孔镀锌钢板（孔径 5mm，孔距 20mm）作为饰面材料。</w:t>
                  </w:r>
                </w:p>
                <w:p>
                  <w:pPr>
                    <w:pStyle w:val="72"/>
                    <w:ind w:firstLine="0" w:firstLineChars="0"/>
                    <w:rPr>
                      <w:rFonts w:cs="Times New Roman"/>
                      <w:kern w:val="2"/>
                      <w:sz w:val="21"/>
                      <w:szCs w:val="21"/>
                    </w:rPr>
                  </w:pPr>
                  <w:r>
                    <w:rPr>
                      <w:rFonts w:cs="Times New Roman"/>
                      <w:kern w:val="2"/>
                      <w:sz w:val="21"/>
                      <w:szCs w:val="21"/>
                    </w:rPr>
                    <w:t>④机房门外开，采用隔声防火门。各风机均采取设置减振基础或减振吊架，管道上设置消音器等措施防止噪音污染。</w:t>
                  </w:r>
                </w:p>
              </w:tc>
              <w:tc>
                <w:tcPr>
                  <w:tcW w:w="1240"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与环评一致</w:t>
                  </w:r>
                </w:p>
              </w:tc>
              <w:tc>
                <w:tcPr>
                  <w:tcW w:w="542"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固废治理</w:t>
                  </w:r>
                </w:p>
              </w:tc>
              <w:tc>
                <w:tcPr>
                  <w:tcW w:w="136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 w:val="21"/>
                      <w:szCs w:val="21"/>
                      <w:highlight w:val="yellow"/>
                    </w:rPr>
                  </w:pPr>
                  <w:r>
                    <w:rPr>
                      <w:rFonts w:ascii="Times New Roman" w:hAnsi="Times New Roman"/>
                      <w:kern w:val="0"/>
                      <w:sz w:val="21"/>
                      <w:szCs w:val="21"/>
                    </w:rPr>
                    <w:t>加强固废污染防治。固体废弃物应按照“资源化、减量化、无害化”处置原则，尽可能实现资源的综合利用。实验室废物经收集后委托有资质单位处理；危废暂存场所应按相关规范进行设置，做好危险废物的入库、存放、出库记录，严格执行转移联单制度，并设置危险废物识别标志，做好防雨、防渗、防漏等工作，杜绝对环境造成二次污染；设置一定数量的垃圾收集点，垃圾经分类收集后及时清运，集中处理。</w:t>
                  </w:r>
                </w:p>
              </w:tc>
              <w:tc>
                <w:tcPr>
                  <w:tcW w:w="1338"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 w:val="21"/>
                      <w:szCs w:val="21"/>
                      <w:highlight w:val="yellow"/>
                    </w:rPr>
                  </w:pPr>
                  <w:r>
                    <w:rPr>
                      <w:rFonts w:ascii="Times New Roman" w:hAnsi="Times New Roman"/>
                      <w:kern w:val="0"/>
                      <w:sz w:val="21"/>
                      <w:szCs w:val="21"/>
                    </w:rPr>
                    <w:t>生活垃圾分类收集，委托环卫部门统一及时清运与处置。实验室废物贮存在危险废物贮存间内，委托</w:t>
                  </w:r>
                  <w:r>
                    <w:rPr>
                      <w:rFonts w:hint="eastAsia" w:ascii="Times New Roman" w:hAnsi="Times New Roman"/>
                      <w:color w:val="FF0000"/>
                      <w:kern w:val="0"/>
                      <w:sz w:val="21"/>
                      <w:szCs w:val="21"/>
                      <w:lang w:val="en-US" w:eastAsia="zh-CN"/>
                    </w:rPr>
                    <w:t>杭州立佳环境服务有限公司</w:t>
                  </w:r>
                  <w:r>
                    <w:rPr>
                      <w:rFonts w:ascii="Times New Roman" w:hAnsi="Times New Roman"/>
                      <w:kern w:val="0"/>
                      <w:sz w:val="21"/>
                      <w:szCs w:val="21"/>
                    </w:rPr>
                    <w:t>定期处置；食堂餐饮固废中废包装箱、饮料罐等收集后出售综合利用；原料边角料及剩饭剩菜出售给农户做饲料；隔油池废油收集后委托有资质的单位处置</w:t>
                  </w:r>
                </w:p>
              </w:tc>
              <w:tc>
                <w:tcPr>
                  <w:tcW w:w="1240"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与环评一致</w:t>
                  </w:r>
                </w:p>
              </w:tc>
              <w:tc>
                <w:tcPr>
                  <w:tcW w:w="542" w:type="pct"/>
                  <w:tcBorders>
                    <w:top w:val="single" w:color="auto" w:sz="4" w:space="0"/>
                    <w:left w:val="single" w:color="auto" w:sz="4" w:space="0"/>
                    <w:bottom w:val="single" w:color="auto" w:sz="4" w:space="0"/>
                    <w:right w:val="single" w:color="auto" w:sz="4" w:space="0"/>
                  </w:tcBorders>
                  <w:vAlign w:val="center"/>
                </w:tcPr>
                <w:p>
                  <w:pPr>
                    <w:pStyle w:val="72"/>
                    <w:ind w:right="0" w:firstLine="0" w:firstLineChars="0"/>
                    <w:jc w:val="center"/>
                    <w:rPr>
                      <w:rFonts w:cs="Times New Roman"/>
                      <w:sz w:val="21"/>
                      <w:szCs w:val="21"/>
                    </w:rPr>
                  </w:pPr>
                  <w:r>
                    <w:rPr>
                      <w:rFonts w:cs="Times New Roman"/>
                      <w:sz w:val="21"/>
                      <w:szCs w:val="21"/>
                    </w:rPr>
                    <w:t>否</w:t>
                  </w:r>
                </w:p>
              </w:tc>
            </w:tr>
          </w:tbl>
          <w:p>
            <w:pPr>
              <w:pStyle w:val="13"/>
              <w:spacing w:beforeLines="20" w:line="360" w:lineRule="auto"/>
              <w:ind w:firstLine="480" w:firstLineChars="200"/>
              <w:jc w:val="left"/>
              <w:rPr>
                <w:rFonts w:ascii="Times New Roman" w:hAnsi="Arial"/>
                <w:bCs/>
                <w:kern w:val="0"/>
                <w:sz w:val="24"/>
              </w:rPr>
            </w:pPr>
            <w:r>
              <w:rPr>
                <w:rFonts w:hint="eastAsia" w:ascii="Times New Roman" w:hAnsi="Arial"/>
                <w:bCs/>
                <w:kern w:val="0"/>
                <w:sz w:val="24"/>
              </w:rPr>
              <w:t>对照《关于印发〈污染影响类建设项目重大变动清单（试行）〉的通知》（生态环境部，环办环评函[2020]688号），项目建设地点未变，使用功能不变，总建筑面积增加量仅为审批总建筑面积的0.88%，没有新增主要废气排放口，预计地下车库尾气排放量增加，该污染物排放增加不属于项目生产、处置和贮存造成的，废水收集预处理后纳入市政污水管网送临平净水厂集中处理达标排放，因此项目不属于重大变动。</w:t>
            </w:r>
          </w:p>
          <w:p>
            <w:pPr>
              <w:pStyle w:val="13"/>
              <w:spacing w:beforeLines="20" w:line="288" w:lineRule="auto"/>
              <w:jc w:val="center"/>
              <w:rPr>
                <w:rFonts w:ascii="Times New Roman" w:hAnsi="Times New Roman"/>
                <w:b/>
                <w:bCs/>
                <w:kern w:val="0"/>
                <w:sz w:val="20"/>
                <w:szCs w:val="21"/>
              </w:rPr>
            </w:pPr>
            <w:r>
              <w:rPr>
                <w:rFonts w:ascii="Times New Roman" w:hAnsi="Arial"/>
                <w:b/>
                <w:bCs/>
                <w:kern w:val="0"/>
                <w:sz w:val="20"/>
                <w:szCs w:val="21"/>
              </w:rPr>
              <w:t>表</w:t>
            </w:r>
            <w:r>
              <w:rPr>
                <w:rFonts w:ascii="Times New Roman" w:hAnsi="Times New Roman"/>
                <w:b/>
                <w:bCs/>
                <w:kern w:val="0"/>
                <w:sz w:val="20"/>
                <w:szCs w:val="21"/>
              </w:rPr>
              <w:t>2-</w:t>
            </w:r>
            <w:r>
              <w:rPr>
                <w:rFonts w:hint="eastAsia" w:ascii="Times New Roman" w:hAnsi="Times New Roman"/>
                <w:b/>
                <w:bCs/>
                <w:kern w:val="0"/>
                <w:sz w:val="20"/>
                <w:szCs w:val="21"/>
              </w:rPr>
              <w:t>9</w:t>
            </w:r>
            <w:r>
              <w:rPr>
                <w:rFonts w:ascii="Times New Roman" w:hAnsi="Times New Roman"/>
                <w:b/>
                <w:bCs/>
                <w:kern w:val="0"/>
                <w:sz w:val="20"/>
                <w:szCs w:val="21"/>
              </w:rPr>
              <w:t xml:space="preserve"> </w:t>
            </w:r>
            <w:r>
              <w:rPr>
                <w:rFonts w:ascii="Times New Roman" w:hAnsi="Arial"/>
                <w:b/>
                <w:bCs/>
                <w:kern w:val="0"/>
                <w:sz w:val="20"/>
                <w:szCs w:val="21"/>
              </w:rPr>
              <w:t>项目变动性质分析判定</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3954"/>
              <w:gridCol w:w="2821"/>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9"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判定类别</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本项目情况</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性质</w:t>
                  </w: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1</w:t>
                  </w:r>
                  <w:r>
                    <w:rPr>
                      <w:rFonts w:ascii="Times New Roman" w:hAnsi="Arial"/>
                      <w:szCs w:val="21"/>
                    </w:rPr>
                    <w:t>、建设项目开发、使用功能发生变化的。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与原环评一致。</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规模</w:t>
                  </w: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2</w:t>
                  </w:r>
                  <w:r>
                    <w:rPr>
                      <w:rFonts w:ascii="Times New Roman" w:hAnsi="Arial"/>
                      <w:szCs w:val="21"/>
                    </w:rPr>
                    <w:t>、生产、处置或储存能力增大</w:t>
                  </w:r>
                  <w:r>
                    <w:rPr>
                      <w:rFonts w:ascii="Times New Roman" w:hAnsi="Times New Roman"/>
                      <w:szCs w:val="21"/>
                    </w:rPr>
                    <w:t>30%</w:t>
                  </w:r>
                  <w:r>
                    <w:rPr>
                      <w:rFonts w:ascii="Times New Roman" w:hAnsi="Arial"/>
                      <w:szCs w:val="21"/>
                    </w:rPr>
                    <w:t>及以上的。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highlight w:val="yellow"/>
                    </w:rPr>
                  </w:pPr>
                  <w:r>
                    <w:rPr>
                      <w:rFonts w:ascii="Times New Roman" w:hAnsi="Arial"/>
                      <w:szCs w:val="21"/>
                    </w:rPr>
                    <w:t>建设总面积增加</w:t>
                  </w:r>
                  <w:r>
                    <w:rPr>
                      <w:rFonts w:hint="eastAsia" w:ascii="Times New Roman" w:hAnsi="Times New Roman"/>
                      <w:szCs w:val="21"/>
                    </w:rPr>
                    <w:t>574.98</w:t>
                  </w:r>
                  <w:r>
                    <w:rPr>
                      <w:rFonts w:ascii="Times New Roman" w:hAnsi="Times New Roman"/>
                      <w:szCs w:val="21"/>
                    </w:rPr>
                    <w:t>m</w:t>
                  </w:r>
                  <w:r>
                    <w:rPr>
                      <w:rFonts w:ascii="Times New Roman" w:hAnsi="Times New Roman"/>
                      <w:szCs w:val="21"/>
                      <w:vertAlign w:val="superscript"/>
                    </w:rPr>
                    <w:t>2</w:t>
                  </w:r>
                  <w:r>
                    <w:rPr>
                      <w:rFonts w:ascii="Times New Roman" w:hAnsi="Arial"/>
                      <w:szCs w:val="21"/>
                    </w:rPr>
                    <w:t>，仅占原环评审批建筑面积的</w:t>
                  </w:r>
                  <w:r>
                    <w:rPr>
                      <w:rFonts w:ascii="Times New Roman" w:hAnsi="Times New Roman"/>
                      <w:szCs w:val="21"/>
                    </w:rPr>
                    <w:t>0.</w:t>
                  </w:r>
                  <w:r>
                    <w:rPr>
                      <w:rFonts w:hint="eastAsia" w:ascii="Times New Roman" w:hAnsi="Times New Roman"/>
                      <w:szCs w:val="21"/>
                    </w:rPr>
                    <w:t>88</w:t>
                  </w:r>
                  <w:r>
                    <w:rPr>
                      <w:rFonts w:ascii="Times New Roman" w:hAnsi="Times New Roman"/>
                      <w:szCs w:val="21"/>
                    </w:rPr>
                    <w:t>%</w:t>
                  </w:r>
                  <w:r>
                    <w:rPr>
                      <w:rFonts w:ascii="Times New Roman" w:hAnsi="Arial"/>
                      <w:szCs w:val="21"/>
                    </w:rPr>
                    <w:t>。</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szCs w:val="21"/>
                    </w:rPr>
                  </w:pP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3</w:t>
                  </w:r>
                  <w:r>
                    <w:rPr>
                      <w:rFonts w:ascii="Times New Roman" w:hAnsi="Arial"/>
                      <w:szCs w:val="21"/>
                    </w:rPr>
                    <w:t>、生产、处置或储存能力增大，导致废水第一类污染物排放量增加的。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本项目不涉及第一类污染物。</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szCs w:val="21"/>
                    </w:rPr>
                  </w:pP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4.</w:t>
                  </w:r>
                  <w:r>
                    <w:rPr>
                      <w:rFonts w:ascii="Times New Roman" w:hAnsi="Arial"/>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hAnsi="Times New Roman"/>
                      <w:szCs w:val="21"/>
                    </w:rPr>
                    <w:t>10%</w:t>
                  </w:r>
                  <w:r>
                    <w:rPr>
                      <w:rFonts w:ascii="Times New Roman" w:hAnsi="Arial"/>
                      <w:szCs w:val="21"/>
                    </w:rPr>
                    <w:t>及以上的。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本项目建设总面积增加不超过原环评</w:t>
                  </w:r>
                  <w:r>
                    <w:rPr>
                      <w:rFonts w:ascii="Times New Roman" w:hAnsi="Times New Roman"/>
                      <w:szCs w:val="21"/>
                    </w:rPr>
                    <w:t>10%</w:t>
                  </w:r>
                  <w:r>
                    <w:rPr>
                      <w:rFonts w:ascii="Times New Roman" w:hAnsi="Arial"/>
                      <w:szCs w:val="21"/>
                    </w:rPr>
                    <w:t>，</w:t>
                  </w:r>
                  <w:r>
                    <w:rPr>
                      <w:rFonts w:hint="eastAsia" w:ascii="Times New Roman" w:hAnsi="Arial"/>
                      <w:color w:val="FF0000"/>
                      <w:szCs w:val="21"/>
                    </w:rPr>
                    <w:t>项目位于臭氧不达标区，地下停车位数量增加9个，预计地下车库尾气排放量增加，</w:t>
                  </w:r>
                  <w:r>
                    <w:rPr>
                      <w:rFonts w:hint="eastAsia" w:ascii="Times New Roman" w:hAnsi="Arial"/>
                      <w:color w:val="FF0000"/>
                      <w:szCs w:val="21"/>
                      <w:lang w:val="en-US" w:eastAsia="zh-CN"/>
                    </w:rPr>
                    <w:t>不属于</w:t>
                  </w:r>
                  <w:r>
                    <w:rPr>
                      <w:rFonts w:ascii="Times New Roman" w:hAnsi="Arial"/>
                      <w:color w:val="FF0000"/>
                      <w:szCs w:val="21"/>
                    </w:rPr>
                    <w:t>生产、处置或储存能力增大，导致相应污染物氮氧化物、挥发性有机物排放量增加</w:t>
                  </w:r>
                  <w:r>
                    <w:rPr>
                      <w:rFonts w:hint="eastAsia" w:ascii="Times New Roman" w:hAnsi="Arial"/>
                      <w:color w:val="FF0000"/>
                      <w:szCs w:val="21"/>
                    </w:rPr>
                    <w:t>。</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地点</w:t>
                  </w: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5.</w:t>
                  </w:r>
                  <w:r>
                    <w:rPr>
                      <w:rFonts w:ascii="Times New Roman" w:hAnsi="Arial"/>
                      <w:szCs w:val="21"/>
                    </w:rPr>
                    <w:t>重新选址；在原厂址附近调整（包括总平面布置变化）导致环境防护距离范围变化且新增敏感点的。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建设地址和平面布置与原环评一致。</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生产</w:t>
                  </w:r>
                </w:p>
                <w:p>
                  <w:pPr>
                    <w:snapToGrid w:val="0"/>
                    <w:jc w:val="center"/>
                    <w:rPr>
                      <w:rFonts w:ascii="Times New Roman" w:hAnsi="Times New Roman"/>
                      <w:szCs w:val="21"/>
                    </w:rPr>
                  </w:pPr>
                  <w:r>
                    <w:rPr>
                      <w:rFonts w:ascii="Times New Roman" w:hAnsi="Arial"/>
                      <w:szCs w:val="21"/>
                    </w:rPr>
                    <w:t>工艺</w:t>
                  </w: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6.</w:t>
                  </w:r>
                  <w:r>
                    <w:rPr>
                      <w:rFonts w:ascii="Times New Roman" w:hAnsi="Arial"/>
                      <w:szCs w:val="21"/>
                    </w:rPr>
                    <w:t>新增产品品种或生产工艺（含主要生产装置、设备及配套设施）、主要原辅材料、燃料变化，导致以下情形之一：</w:t>
                  </w:r>
                </w:p>
                <w:p>
                  <w:pPr>
                    <w:snapToGrid w:val="0"/>
                    <w:jc w:val="left"/>
                    <w:rPr>
                      <w:rFonts w:ascii="Times New Roman" w:hAnsi="Times New Roman"/>
                      <w:szCs w:val="21"/>
                    </w:rPr>
                  </w:pPr>
                  <w:r>
                    <w:rPr>
                      <w:rFonts w:ascii="Times New Roman" w:hAnsi="Arial"/>
                      <w:szCs w:val="21"/>
                    </w:rPr>
                    <w:t>（</w:t>
                  </w:r>
                  <w:r>
                    <w:rPr>
                      <w:rFonts w:ascii="Times New Roman" w:hAnsi="Times New Roman"/>
                      <w:szCs w:val="21"/>
                    </w:rPr>
                    <w:t>1</w:t>
                  </w:r>
                  <w:r>
                    <w:rPr>
                      <w:rFonts w:ascii="Times New Roman" w:hAnsi="Arial"/>
                      <w:szCs w:val="21"/>
                    </w:rPr>
                    <w:t>）新增排放污染物种类的（毒性、挥发性降低的除外）；</w:t>
                  </w:r>
                </w:p>
                <w:p>
                  <w:pPr>
                    <w:snapToGrid w:val="0"/>
                    <w:jc w:val="left"/>
                    <w:rPr>
                      <w:rFonts w:ascii="Times New Roman" w:hAnsi="Times New Roman"/>
                      <w:szCs w:val="21"/>
                    </w:rPr>
                  </w:pPr>
                  <w:r>
                    <w:rPr>
                      <w:rFonts w:ascii="Times New Roman" w:hAnsi="Arial"/>
                      <w:szCs w:val="21"/>
                    </w:rPr>
                    <w:t>（</w:t>
                  </w:r>
                  <w:r>
                    <w:rPr>
                      <w:rFonts w:ascii="Times New Roman" w:hAnsi="Times New Roman"/>
                      <w:szCs w:val="21"/>
                    </w:rPr>
                    <w:t>2</w:t>
                  </w:r>
                  <w:r>
                    <w:rPr>
                      <w:rFonts w:ascii="Times New Roman" w:hAnsi="Arial"/>
                      <w:szCs w:val="21"/>
                    </w:rPr>
                    <w:t>）位于环境质量不达标区的建设项目相应污染物排放量增加的；</w:t>
                  </w:r>
                </w:p>
                <w:p>
                  <w:pPr>
                    <w:snapToGrid w:val="0"/>
                    <w:jc w:val="left"/>
                    <w:rPr>
                      <w:rFonts w:ascii="Times New Roman" w:hAnsi="Times New Roman"/>
                      <w:szCs w:val="21"/>
                    </w:rPr>
                  </w:pPr>
                  <w:r>
                    <w:rPr>
                      <w:rFonts w:ascii="Times New Roman" w:hAnsi="Arial"/>
                      <w:szCs w:val="21"/>
                    </w:rPr>
                    <w:t>（</w:t>
                  </w:r>
                  <w:r>
                    <w:rPr>
                      <w:rFonts w:ascii="Times New Roman" w:hAnsi="Times New Roman"/>
                      <w:szCs w:val="21"/>
                    </w:rPr>
                    <w:t>3</w:t>
                  </w:r>
                  <w:r>
                    <w:rPr>
                      <w:rFonts w:ascii="Times New Roman" w:hAnsi="Arial"/>
                      <w:szCs w:val="21"/>
                    </w:rPr>
                    <w:t>）废水第一类污染物排放量增加的；</w:t>
                  </w:r>
                </w:p>
                <w:p>
                  <w:pPr>
                    <w:snapToGrid w:val="0"/>
                    <w:jc w:val="left"/>
                    <w:rPr>
                      <w:rFonts w:ascii="Times New Roman" w:hAnsi="Times New Roman"/>
                      <w:szCs w:val="21"/>
                    </w:rPr>
                  </w:pPr>
                  <w:r>
                    <w:rPr>
                      <w:rFonts w:ascii="Times New Roman" w:hAnsi="Arial"/>
                      <w:szCs w:val="21"/>
                    </w:rPr>
                    <w:t>（</w:t>
                  </w:r>
                  <w:r>
                    <w:rPr>
                      <w:rFonts w:ascii="Times New Roman" w:hAnsi="Times New Roman"/>
                      <w:szCs w:val="21"/>
                    </w:rPr>
                    <w:t>4</w:t>
                  </w:r>
                  <w:r>
                    <w:rPr>
                      <w:rFonts w:ascii="Times New Roman" w:hAnsi="Arial"/>
                      <w:szCs w:val="21"/>
                    </w:rPr>
                    <w:t>）其他污染物排放量增加</w:t>
                  </w:r>
                  <w:r>
                    <w:rPr>
                      <w:rFonts w:ascii="Times New Roman" w:hAnsi="Times New Roman"/>
                      <w:szCs w:val="21"/>
                    </w:rPr>
                    <w:t>10%</w:t>
                  </w:r>
                  <w:r>
                    <w:rPr>
                      <w:rFonts w:ascii="Times New Roman" w:hAnsi="Arial"/>
                      <w:szCs w:val="21"/>
                    </w:rPr>
                    <w:t>及以上的。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rPr>
                      <w:rFonts w:ascii="Times New Roman" w:hAnsi="Times New Roman"/>
                      <w:szCs w:val="21"/>
                    </w:rPr>
                  </w:pPr>
                  <w:r>
                    <w:rPr>
                      <w:rFonts w:ascii="Times New Roman" w:hAnsi="Arial"/>
                      <w:szCs w:val="21"/>
                    </w:rPr>
                    <w:t>本项目</w:t>
                  </w:r>
                  <w:r>
                    <w:rPr>
                      <w:rFonts w:hint="eastAsia" w:ascii="Times New Roman" w:hAnsi="Arial"/>
                      <w:szCs w:val="21"/>
                    </w:rPr>
                    <w:t>功能定位</w:t>
                  </w:r>
                  <w:r>
                    <w:rPr>
                      <w:rFonts w:ascii="Times New Roman" w:hAnsi="Arial"/>
                      <w:szCs w:val="21"/>
                    </w:rPr>
                    <w:t>与原环评一致，无新增污染物种类，不涉及第一类污染物</w:t>
                  </w:r>
                  <w:r>
                    <w:rPr>
                      <w:rFonts w:hint="eastAsia" w:ascii="Times New Roman" w:hAnsi="Arial"/>
                      <w:szCs w:val="21"/>
                    </w:rPr>
                    <w:t>，</w:t>
                  </w:r>
                  <w:r>
                    <w:rPr>
                      <w:rFonts w:ascii="Times New Roman" w:hAnsi="Times New Roman"/>
                      <w:szCs w:val="21"/>
                    </w:rPr>
                    <w:t>地下停车位数量增加9个，预计地下车库尾气排放量增加</w:t>
                  </w:r>
                  <w:r>
                    <w:rPr>
                      <w:rFonts w:hint="eastAsia"/>
                      <w:szCs w:val="21"/>
                    </w:rPr>
                    <w:t>，该污染物排放增加不属于项目</w:t>
                  </w:r>
                  <w:r>
                    <w:rPr>
                      <w:rFonts w:ascii="Times New Roman" w:hAnsi="Arial"/>
                      <w:szCs w:val="21"/>
                    </w:rPr>
                    <w:t>新增产品品种或生产工艺（含主要生产装置、设备及配套设施）、主要原辅材料、燃料变化</w:t>
                  </w:r>
                  <w:r>
                    <w:rPr>
                      <w:rFonts w:hint="eastAsia" w:ascii="Times New Roman" w:hAnsi="Arial"/>
                      <w:szCs w:val="21"/>
                    </w:rPr>
                    <w:t>造成</w:t>
                  </w:r>
                  <w:r>
                    <w:rPr>
                      <w:rFonts w:hint="eastAsia"/>
                      <w:szCs w:val="21"/>
                    </w:rPr>
                    <w:t>的</w:t>
                  </w:r>
                  <w:r>
                    <w:rPr>
                      <w:rFonts w:ascii="Times New Roman" w:hAnsi="Times New Roman"/>
                      <w:szCs w:val="21"/>
                    </w:rPr>
                    <w:t>。</w:t>
                  </w:r>
                  <w:r>
                    <w:rPr>
                      <w:rFonts w:hint="eastAsia" w:ascii="Times New Roman" w:hAnsi="Times New Roman"/>
                      <w:color w:val="FF0000"/>
                      <w:szCs w:val="21"/>
                    </w:rPr>
                    <w:t>项目锅炉数量</w:t>
                  </w:r>
                  <w:r>
                    <w:rPr>
                      <w:rFonts w:hint="eastAsia" w:ascii="Times New Roman" w:hAnsi="Arial"/>
                      <w:color w:val="FF0000"/>
                      <w:szCs w:val="21"/>
                    </w:rPr>
                    <w:t>及型号发生变化，目前锅炉房内设有两台锅炉，</w:t>
                  </w:r>
                  <w:r>
                    <w:rPr>
                      <w:rFonts w:ascii="Times New Roman" w:hAnsi="Arial"/>
                      <w:color w:val="FF0000"/>
                      <w:szCs w:val="21"/>
                    </w:rPr>
                    <w:t>一用一备</w:t>
                  </w:r>
                  <w:r>
                    <w:rPr>
                      <w:rFonts w:hint="eastAsia" w:ascii="Times New Roman" w:hAnsi="Arial"/>
                      <w:color w:val="FF0000"/>
                      <w:szCs w:val="21"/>
                    </w:rPr>
                    <w:t>，型号分别为0.8</w:t>
                  </w:r>
                  <w:r>
                    <w:rPr>
                      <w:rFonts w:hint="eastAsia" w:ascii="Times New Roman" w:hAnsi="Arial"/>
                      <w:color w:val="FF0000"/>
                      <w:szCs w:val="21"/>
                      <w:lang w:val="en-US" w:eastAsia="zh-CN"/>
                    </w:rPr>
                    <w:t>3</w:t>
                  </w:r>
                  <w:r>
                    <w:rPr>
                      <w:rFonts w:hint="eastAsia" w:ascii="Times New Roman" w:hAnsi="Arial"/>
                      <w:color w:val="FF0000"/>
                      <w:szCs w:val="21"/>
                    </w:rPr>
                    <w:t>吨、0.5吨。原审批时未对燃气锅炉废气中污染物排放量进行核定，根据验收监测，现状</w:t>
                  </w:r>
                  <w:r>
                    <w:rPr>
                      <w:rFonts w:ascii="Times New Roman" w:hAnsi="Arial"/>
                      <w:color w:val="FF0000"/>
                      <w:szCs w:val="21"/>
                    </w:rPr>
                    <w:t>天然气锅炉烟气排放符合</w:t>
                  </w:r>
                  <w:r>
                    <w:rPr>
                      <w:rFonts w:ascii="Times New Roman" w:hAnsi="Arial"/>
                      <w:bCs/>
                      <w:color w:val="FF0000"/>
                      <w:szCs w:val="21"/>
                    </w:rPr>
                    <w:t>《锅炉大气污染物排放标准》（GB 13271-2014）表3特别排放限值</w:t>
                  </w:r>
                  <w:r>
                    <w:rPr>
                      <w:rFonts w:hint="eastAsia" w:ascii="Times New Roman" w:hAnsi="Arial"/>
                      <w:bCs/>
                      <w:color w:val="FF0000"/>
                      <w:szCs w:val="21"/>
                    </w:rPr>
                    <w:t>要求，因此该变化不会导致污染物排放量增加。</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szCs w:val="21"/>
                    </w:rPr>
                  </w:pP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7.</w:t>
                  </w:r>
                  <w:r>
                    <w:rPr>
                      <w:rFonts w:ascii="Times New Roman" w:hAnsi="Arial"/>
                      <w:szCs w:val="21"/>
                    </w:rPr>
                    <w:t>物料运输、装卸、贮存方式变化，导致大气污染物无组织排放量增加</w:t>
                  </w:r>
                  <w:r>
                    <w:rPr>
                      <w:rFonts w:ascii="Times New Roman" w:hAnsi="Times New Roman"/>
                      <w:szCs w:val="21"/>
                    </w:rPr>
                    <w:t>10%</w:t>
                  </w:r>
                  <w:r>
                    <w:rPr>
                      <w:rFonts w:ascii="Times New Roman" w:hAnsi="Arial"/>
                      <w:szCs w:val="21"/>
                    </w:rPr>
                    <w:t>及以上的。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物料运输、装卸、贮存方式与原环评一致。</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环境</w:t>
                  </w:r>
                </w:p>
                <w:p>
                  <w:pPr>
                    <w:snapToGrid w:val="0"/>
                    <w:jc w:val="center"/>
                    <w:rPr>
                      <w:rFonts w:ascii="Times New Roman" w:hAnsi="Times New Roman"/>
                      <w:szCs w:val="21"/>
                    </w:rPr>
                  </w:pPr>
                  <w:r>
                    <w:rPr>
                      <w:rFonts w:ascii="Times New Roman" w:hAnsi="Arial"/>
                      <w:szCs w:val="21"/>
                    </w:rPr>
                    <w:t>保护</w:t>
                  </w:r>
                </w:p>
                <w:p>
                  <w:pPr>
                    <w:snapToGrid w:val="0"/>
                    <w:jc w:val="center"/>
                    <w:rPr>
                      <w:rFonts w:ascii="Times New Roman" w:hAnsi="Times New Roman"/>
                      <w:szCs w:val="21"/>
                    </w:rPr>
                  </w:pPr>
                  <w:r>
                    <w:rPr>
                      <w:rFonts w:ascii="Times New Roman" w:hAnsi="Arial"/>
                      <w:szCs w:val="21"/>
                    </w:rPr>
                    <w:t>措施</w:t>
                  </w: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8.</w:t>
                  </w:r>
                  <w:r>
                    <w:rPr>
                      <w:rFonts w:ascii="Times New Roman" w:hAnsi="Arial"/>
                      <w:szCs w:val="21"/>
                    </w:rPr>
                    <w:t>废气、废水污染防治措施变化，导致第</w:t>
                  </w:r>
                  <w:r>
                    <w:rPr>
                      <w:rFonts w:ascii="Times New Roman" w:hAnsi="Times New Roman"/>
                      <w:szCs w:val="21"/>
                    </w:rPr>
                    <w:t>6</w:t>
                  </w:r>
                  <w:r>
                    <w:rPr>
                      <w:rFonts w:ascii="Times New Roman" w:hAnsi="Arial"/>
                      <w:szCs w:val="21"/>
                    </w:rPr>
                    <w:t>条中所列情形之一（废气无组织排放改为有组织排放、污染防治措施强化或改进的除外）或大气污染物无组织排放量增加</w:t>
                  </w:r>
                  <w:r>
                    <w:rPr>
                      <w:rFonts w:ascii="Times New Roman" w:hAnsi="Times New Roman"/>
                      <w:szCs w:val="21"/>
                    </w:rPr>
                    <w:t>10%</w:t>
                  </w:r>
                  <w:r>
                    <w:rPr>
                      <w:rFonts w:ascii="Times New Roman" w:hAnsi="Arial"/>
                      <w:szCs w:val="21"/>
                    </w:rPr>
                    <w:t>及以上的。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项目废水废气污染防治措施与原环评一致。</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szCs w:val="21"/>
                    </w:rPr>
                  </w:pP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9.</w:t>
                  </w:r>
                  <w:r>
                    <w:rPr>
                      <w:rFonts w:ascii="Times New Roman" w:hAnsi="Arial"/>
                      <w:szCs w:val="21"/>
                    </w:rPr>
                    <w:t>新增废水直接排放口；废水由间接排放改为直接排放；废水直接排放口位置变化，导致不利环境影响加重的。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rPr>
                      <w:rFonts w:ascii="Times New Roman" w:hAnsi="Times New Roman"/>
                      <w:szCs w:val="21"/>
                    </w:rPr>
                  </w:pPr>
                  <w:r>
                    <w:rPr>
                      <w:rFonts w:ascii="Times New Roman" w:hAnsi="Arial"/>
                      <w:szCs w:val="21"/>
                    </w:rPr>
                    <w:t>废水收集预处理后纳入市政污水管网，非直接排放，与环评一致，不会导致</w:t>
                  </w:r>
                  <w:r>
                    <w:rPr>
                      <w:rFonts w:hint="eastAsia" w:ascii="Times New Roman" w:hAnsi="Arial"/>
                      <w:szCs w:val="21"/>
                    </w:rPr>
                    <w:t>不利</w:t>
                  </w:r>
                  <w:r>
                    <w:rPr>
                      <w:rFonts w:ascii="Times New Roman" w:hAnsi="Arial"/>
                      <w:szCs w:val="21"/>
                    </w:rPr>
                    <w:t>影响加重。</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szCs w:val="21"/>
                    </w:rPr>
                  </w:pP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10.</w:t>
                  </w:r>
                  <w:r>
                    <w:rPr>
                      <w:rFonts w:ascii="Times New Roman" w:hAnsi="Arial"/>
                      <w:szCs w:val="21"/>
                    </w:rPr>
                    <w:t>新增废气主要排放口（废气无组织排放改为有组织排放的除外）；主要排放口排气筒高度降低</w:t>
                  </w:r>
                  <w:r>
                    <w:rPr>
                      <w:rFonts w:ascii="Times New Roman" w:hAnsi="Times New Roman"/>
                      <w:szCs w:val="21"/>
                    </w:rPr>
                    <w:t>10%</w:t>
                  </w:r>
                  <w:r>
                    <w:rPr>
                      <w:rFonts w:ascii="Times New Roman" w:hAnsi="Arial"/>
                      <w:szCs w:val="21"/>
                    </w:rPr>
                    <w:t>及以上的。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olor w:val="FF0000"/>
                      <w:szCs w:val="21"/>
                      <w:lang w:val="en-US" w:eastAsia="zh-CN"/>
                    </w:rPr>
                  </w:pPr>
                  <w:r>
                    <w:rPr>
                      <w:rFonts w:ascii="Times New Roman" w:hAnsi="Times New Roman"/>
                      <w:color w:val="FF0000"/>
                      <w:szCs w:val="21"/>
                    </w:rPr>
                    <w:t>项目排放口为食堂油烟废气排放口及锅炉烟气排放口，</w:t>
                  </w:r>
                  <w:r>
                    <w:rPr>
                      <w:rFonts w:ascii="Times New Roman" w:hAnsi="Arial"/>
                      <w:color w:val="FF0000"/>
                    </w:rPr>
                    <w:t>根据《排污许可证申请与核发技术规范锅炉》（</w:t>
                  </w:r>
                  <w:r>
                    <w:rPr>
                      <w:rFonts w:ascii="Times New Roman" w:hAnsi="Times New Roman"/>
                      <w:color w:val="FF0000"/>
                    </w:rPr>
                    <w:t>HJ953-2018</w:t>
                  </w:r>
                  <w:r>
                    <w:rPr>
                      <w:rFonts w:ascii="Times New Roman" w:hAnsi="Arial"/>
                      <w:color w:val="FF0000"/>
                    </w:rPr>
                    <w:t>）：</w:t>
                  </w:r>
                  <w:r>
                    <w:rPr>
                      <w:rFonts w:ascii="Times New Roman" w:hAnsi="Times New Roman"/>
                      <w:color w:val="FF0000"/>
                    </w:rPr>
                    <w:t>“</w:t>
                  </w:r>
                  <w:r>
                    <w:rPr>
                      <w:rFonts w:ascii="Times New Roman" w:hAnsi="Arial"/>
                      <w:color w:val="FF0000"/>
                    </w:rPr>
                    <w:t>单台处理</w:t>
                  </w:r>
                  <w:r>
                    <w:rPr>
                      <w:rFonts w:ascii="Times New Roman" w:hAnsi="Times New Roman"/>
                      <w:color w:val="FF0000"/>
                    </w:rPr>
                    <w:t>10</w:t>
                  </w:r>
                  <w:r>
                    <w:rPr>
                      <w:rFonts w:ascii="Times New Roman" w:hAnsi="Arial"/>
                      <w:color w:val="FF0000"/>
                    </w:rPr>
                    <w:t>吨</w:t>
                  </w:r>
                  <w:r>
                    <w:rPr>
                      <w:rFonts w:ascii="Times New Roman" w:hAnsi="Times New Roman"/>
                      <w:color w:val="FF0000"/>
                    </w:rPr>
                    <w:t>/</w:t>
                  </w:r>
                  <w:r>
                    <w:rPr>
                      <w:rFonts w:ascii="Times New Roman" w:hAnsi="Arial"/>
                      <w:color w:val="FF0000"/>
                    </w:rPr>
                    <w:t>小时（</w:t>
                  </w:r>
                  <w:r>
                    <w:rPr>
                      <w:rFonts w:ascii="Times New Roman" w:hAnsi="Times New Roman"/>
                      <w:color w:val="FF0000"/>
                    </w:rPr>
                    <w:t>7</w:t>
                  </w:r>
                  <w:r>
                    <w:rPr>
                      <w:rFonts w:ascii="Times New Roman" w:hAnsi="Arial"/>
                      <w:color w:val="FF0000"/>
                    </w:rPr>
                    <w:t>兆瓦）以下且合计出力</w:t>
                  </w:r>
                  <w:r>
                    <w:rPr>
                      <w:rFonts w:ascii="Times New Roman" w:hAnsi="Times New Roman"/>
                      <w:color w:val="FF0000"/>
                    </w:rPr>
                    <w:t>20t/</w:t>
                  </w:r>
                  <w:r>
                    <w:rPr>
                      <w:rFonts w:ascii="Times New Roman" w:hAnsi="Arial"/>
                      <w:color w:val="FF0000"/>
                    </w:rPr>
                    <w:t>小时（</w:t>
                  </w:r>
                  <w:r>
                    <w:rPr>
                      <w:rFonts w:ascii="Times New Roman" w:hAnsi="Times New Roman"/>
                      <w:color w:val="FF0000"/>
                    </w:rPr>
                    <w:t>14</w:t>
                  </w:r>
                  <w:r>
                    <w:rPr>
                      <w:rFonts w:ascii="Times New Roman" w:hAnsi="Arial"/>
                      <w:color w:val="FF0000"/>
                    </w:rPr>
                    <w:t>兆瓦）以下锅炉排污单位的所有有组织排放口为一般排放口</w:t>
                  </w:r>
                  <w:r>
                    <w:rPr>
                      <w:rFonts w:ascii="Times New Roman" w:hAnsi="Times New Roman"/>
                      <w:color w:val="FF0000"/>
                    </w:rPr>
                    <w:t>”</w:t>
                  </w:r>
                  <w:r>
                    <w:rPr>
                      <w:rFonts w:ascii="Times New Roman" w:hAnsi="Arial"/>
                      <w:color w:val="FF0000"/>
                    </w:rPr>
                    <w:t>，</w:t>
                  </w:r>
                  <w:r>
                    <w:rPr>
                      <w:rFonts w:hint="eastAsia" w:ascii="Times New Roman" w:hAnsi="Arial"/>
                      <w:color w:val="FF0000"/>
                    </w:rPr>
                    <w:t>因此</w:t>
                  </w:r>
                  <w:r>
                    <w:rPr>
                      <w:rFonts w:ascii="Times New Roman" w:hAnsi="Arial"/>
                      <w:color w:val="FF0000"/>
                    </w:rPr>
                    <w:t>项目</w:t>
                  </w:r>
                  <w:r>
                    <w:rPr>
                      <w:rFonts w:hint="eastAsia" w:ascii="Times New Roman" w:hAnsi="Arial"/>
                      <w:color w:val="FF0000"/>
                    </w:rPr>
                    <w:t>锅炉烟气排放口为一般排放口。锅炉排气筒原环评高度为15.9m</w:t>
                  </w:r>
                  <w:r>
                    <w:rPr>
                      <w:rFonts w:hint="eastAsia" w:ascii="Times New Roman" w:hAnsi="Arial"/>
                      <w:color w:val="FF0000"/>
                      <w:lang w:eastAsia="zh-CN"/>
                    </w:rPr>
                    <w:t>，</w:t>
                  </w:r>
                  <w:r>
                    <w:rPr>
                      <w:rFonts w:hint="eastAsia" w:ascii="Times New Roman" w:hAnsi="Arial"/>
                      <w:color w:val="FF0000"/>
                      <w:lang w:val="en-US" w:eastAsia="zh-CN"/>
                    </w:rPr>
                    <w:t>实际高度为15m。因此项目不属于新增废气主要排放口或主要排放口降低10%及以上的</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szCs w:val="21"/>
                    </w:rPr>
                  </w:pP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11.</w:t>
                  </w:r>
                  <w:r>
                    <w:rPr>
                      <w:rFonts w:ascii="Times New Roman" w:hAnsi="Arial"/>
                      <w:szCs w:val="21"/>
                    </w:rPr>
                    <w:t>噪声、土壤或地下水污染防治措施变化，导致不利环境影响加重的。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与原环评一致</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szCs w:val="21"/>
                    </w:rPr>
                  </w:pP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12.</w:t>
                  </w:r>
                  <w:r>
                    <w:rPr>
                      <w:rFonts w:ascii="Times New Roman" w:hAnsi="Arial"/>
                      <w:szCs w:val="21"/>
                    </w:rPr>
                    <w:t>固体废物利用处置方式由委托外单位利用处置改为自行利用处置的（自行利用处置设施单独开展环境影响评价的除外）；固体废物自行处置方式变化，导致不利环境影响加重的。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与原环评一致</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szCs w:val="21"/>
                    </w:rPr>
                  </w:pPr>
                </w:p>
              </w:tc>
              <w:tc>
                <w:tcPr>
                  <w:tcW w:w="2383" w:type="pct"/>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szCs w:val="21"/>
                    </w:rPr>
                  </w:pPr>
                  <w:r>
                    <w:rPr>
                      <w:rFonts w:ascii="Times New Roman" w:hAnsi="Times New Roman"/>
                      <w:szCs w:val="21"/>
                    </w:rPr>
                    <w:t>13.</w:t>
                  </w:r>
                  <w:r>
                    <w:rPr>
                      <w:rFonts w:ascii="Times New Roman" w:hAnsi="Arial"/>
                      <w:szCs w:val="21"/>
                    </w:rPr>
                    <w:t>事故废水暂存能力或拦截设施变化，导致环境风险防范能力弱化或降低的。</w:t>
                  </w:r>
                </w:p>
              </w:tc>
              <w:tc>
                <w:tcPr>
                  <w:tcW w:w="170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与原环评一致</w:t>
                  </w:r>
                </w:p>
              </w:tc>
              <w:tc>
                <w:tcPr>
                  <w:tcW w:w="521"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szCs w:val="21"/>
                    </w:rPr>
                  </w:pPr>
                  <w:r>
                    <w:rPr>
                      <w:rFonts w:ascii="Times New Roman" w:hAnsi="Arial"/>
                      <w:szCs w:val="21"/>
                    </w:rPr>
                    <w:t>否</w:t>
                  </w:r>
                </w:p>
              </w:tc>
            </w:tr>
          </w:tbl>
          <w:p>
            <w:pPr>
              <w:pStyle w:val="80"/>
              <w:rPr>
                <w:sz w:val="20"/>
              </w:rPr>
            </w:pPr>
          </w:p>
        </w:tc>
      </w:tr>
    </w:tbl>
    <w:p>
      <w:pPr>
        <w:sectPr>
          <w:pgSz w:w="11906" w:h="16838"/>
          <w:pgMar w:top="1440" w:right="1800" w:bottom="1440" w:left="1800" w:header="851" w:footer="992" w:gutter="0"/>
          <w:cols w:space="425" w:num="1"/>
          <w:docGrid w:type="lines" w:linePitch="312" w:charSpace="0"/>
        </w:sectPr>
      </w:pPr>
    </w:p>
    <w:p>
      <w:pPr>
        <w:pStyle w:val="3"/>
        <w:rPr>
          <w:rFonts w:ascii="Arial" w:hAnsi="Arial" w:cs="Arial"/>
        </w:rPr>
      </w:pPr>
      <w:bookmarkStart w:id="4" w:name="_Toc9124"/>
      <w:r>
        <w:rPr>
          <w:rFonts w:hint="eastAsia" w:ascii="Arial" w:hAnsi="Arial" w:cs="Arial"/>
        </w:rPr>
        <w:t>表三</w:t>
      </w:r>
      <w:bookmarkStart w:id="5" w:name="_Toc18401"/>
      <w:r>
        <w:rPr>
          <w:rFonts w:hint="eastAsia" w:ascii="Arial" w:hAnsi="Arial" w:cs="Arial"/>
        </w:rPr>
        <w:t>环境保护设施</w:t>
      </w:r>
      <w:bookmarkEnd w:id="4"/>
      <w:bookmarkEnd w:id="5"/>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 xml:space="preserve">3.1 </w:t>
            </w:r>
            <w:r>
              <w:rPr>
                <w:rFonts w:ascii="Times New Roman" w:hAnsi="Arial"/>
                <w:kern w:val="0"/>
                <w:sz w:val="24"/>
              </w:rPr>
              <w:t>施工期环保措施落实情况</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1</w:t>
            </w:r>
            <w:r>
              <w:rPr>
                <w:rFonts w:ascii="Times New Roman" w:hAnsi="Arial"/>
                <w:kern w:val="0"/>
                <w:sz w:val="24"/>
              </w:rPr>
              <w:t>、大气环境</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1</w:t>
            </w:r>
            <w:r>
              <w:rPr>
                <w:rFonts w:ascii="Times New Roman" w:hAnsi="Arial"/>
                <w:kern w:val="0"/>
                <w:sz w:val="24"/>
              </w:rPr>
              <w:t>）车辆行驶扬尘抑制措施</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①施工期间对施工场地及车辆行驶路面实施洒水抑尘，每天洒水</w:t>
            </w:r>
            <w:r>
              <w:rPr>
                <w:rFonts w:ascii="Times New Roman" w:hAnsi="Times New Roman"/>
                <w:kern w:val="0"/>
                <w:sz w:val="24"/>
              </w:rPr>
              <w:t>4</w:t>
            </w:r>
            <w:r>
              <w:rPr>
                <w:rFonts w:ascii="Times New Roman" w:hAnsi="Arial"/>
                <w:kern w:val="0"/>
                <w:sz w:val="24"/>
              </w:rPr>
              <w:t>～</w:t>
            </w:r>
            <w:r>
              <w:rPr>
                <w:rFonts w:ascii="Times New Roman" w:hAnsi="Times New Roman"/>
                <w:kern w:val="0"/>
                <w:sz w:val="24"/>
              </w:rPr>
              <w:t>5</w:t>
            </w:r>
            <w:r>
              <w:rPr>
                <w:rFonts w:ascii="Times New Roman" w:hAnsi="Arial"/>
                <w:kern w:val="0"/>
                <w:sz w:val="24"/>
              </w:rPr>
              <w:t>次。</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②施工现场出入口设置车辆冲洗设施和排水、废浆沉淀设施，运输车辆冲洗干净后出场，以降低汽车扬尘对周边敏感点的影响。</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③施工现场的出入口、场内主要通道应当采用混凝土硬化处理，并派专人保持出入口通道的整洁。</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④运输车辆应从临丁路进入，尽量避开周边敏感点（星乐小区二区），运输时时应减速缓行，尽可能减少车辆扬尘的影响。</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2</w:t>
            </w:r>
            <w:r>
              <w:rPr>
                <w:rFonts w:ascii="Times New Roman" w:hAnsi="Arial"/>
                <w:kern w:val="0"/>
                <w:sz w:val="24"/>
              </w:rPr>
              <w:t>）堆场扬尘抑制措施</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①文明施工，采取滞尘防护措施，施工现场应当设置围挡。</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②尽可能使用预拌混凝土和预拌砂浆，需要使用散装水泥的，应采取密闭防尘措施。</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③施工现场的出入口、场内主要通道、加工场地及材料堆放区域应采用混凝土硬化处理，其他空旷场地应当进行绿化布置或者采用其他形式固化，施工现场定期清扫、喷淋或者喷洒粉尘覆盖剂。</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④在施工现场设置专门的材料处理区域进行产生扬尘的建筑材料加工，并采取措施防止扬尘污染。对易产生扬尘的建筑材料进行喷淋、遮盖处理，对临时堆放的土方采取覆盖措施。</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⑤当风速五级以上或者发布大气重污染二级预警时，不得进行建（构）筑物拆除施工和土地平整、换土、原土过筛等作业，并应当对施工现场采取喷淋、覆盖等降尘措施；当发布大气重污染一级预警时，裸露场地应当保持湿化，还应当停止所有土石方作业。</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⑥建（构）筑物内建筑垃圾的清运应当采用相应容器或者管道运输，禁止凌空抛掷物料和建筑垃圾。</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本项目没有发生大气环境污染事故的环保投诉。</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2</w:t>
            </w:r>
            <w:r>
              <w:rPr>
                <w:rFonts w:ascii="Times New Roman" w:hAnsi="Arial"/>
                <w:kern w:val="0"/>
                <w:sz w:val="24"/>
              </w:rPr>
              <w:t>、水环境</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1</w:t>
            </w:r>
            <w:r>
              <w:rPr>
                <w:rFonts w:ascii="Times New Roman" w:hAnsi="Arial"/>
                <w:kern w:val="0"/>
                <w:sz w:val="24"/>
              </w:rPr>
              <w:t>）施工废水：施工现场设置排水设施，保持排水畅通。施工过程中产生的污水、废浆和淤泥应当按照规定处置达标后排放，不得向自然水域排放。建设工程施工现场出入口设置车辆冲洗设施和排水、废浆沉淀设施。施工单位须在施工场地内设置沉淀池，混凝土废水、泥浆水、地下涌水或渗水收集经沉淀处理后，上清液作为场地洒水、车辆冲洗等使用，不排放，避免施工废水对周边水体产生的不利影响</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2</w:t>
            </w:r>
            <w:r>
              <w:rPr>
                <w:rFonts w:ascii="Times New Roman" w:hAnsi="Arial"/>
                <w:kern w:val="0"/>
                <w:sz w:val="24"/>
              </w:rPr>
              <w:t>）生活污水：施工现场应当水冲式或者移动式厕所，房屋建筑内每两层设置临时便溺设施。施工人员产生的生活污水中粪便水经化粪池处理、食堂污水经隔油处理后汇同其他生活污水达三级接管标准后可接入周边道路污水管网，办理临时排水行政许可手续。</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3</w:t>
            </w:r>
            <w:r>
              <w:rPr>
                <w:rFonts w:ascii="Times New Roman" w:hAnsi="Arial"/>
                <w:kern w:val="0"/>
                <w:sz w:val="24"/>
              </w:rPr>
              <w:t>、声环境</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1</w:t>
            </w:r>
            <w:r>
              <w:rPr>
                <w:rFonts w:ascii="Times New Roman" w:hAnsi="Arial"/>
                <w:kern w:val="0"/>
                <w:sz w:val="24"/>
              </w:rPr>
              <w:t>）建设单位使用的主要机械设备为低噪声机械设备。同时在施工过程中应设专人对设备进行定期保养和维护，并负责对现场工作人员进行培训，严格按操作规范使用各类机械。</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2</w:t>
            </w:r>
            <w:r>
              <w:rPr>
                <w:rFonts w:ascii="Times New Roman" w:hAnsi="Arial"/>
                <w:kern w:val="0"/>
                <w:sz w:val="24"/>
              </w:rPr>
              <w:t>）项目在施工期间合理安排了施工时间，除工程必须，并取得环保部门批准外，严禁在</w:t>
            </w:r>
            <w:r>
              <w:rPr>
                <w:rFonts w:ascii="Times New Roman" w:hAnsi="Times New Roman"/>
                <w:kern w:val="0"/>
                <w:sz w:val="24"/>
              </w:rPr>
              <w:t>22</w:t>
            </w:r>
            <w:r>
              <w:rPr>
                <w:rFonts w:ascii="Times New Roman" w:hAnsi="Arial"/>
                <w:kern w:val="0"/>
                <w:sz w:val="24"/>
              </w:rPr>
              <w:t>：</w:t>
            </w:r>
            <w:r>
              <w:rPr>
                <w:rFonts w:ascii="Times New Roman" w:hAnsi="Times New Roman"/>
                <w:kern w:val="0"/>
                <w:sz w:val="24"/>
              </w:rPr>
              <w:t>00</w:t>
            </w:r>
            <w:r>
              <w:rPr>
                <w:rFonts w:ascii="Times New Roman" w:hAnsi="Arial"/>
                <w:kern w:val="0"/>
                <w:sz w:val="24"/>
              </w:rPr>
              <w:t>～</w:t>
            </w:r>
            <w:r>
              <w:rPr>
                <w:rFonts w:ascii="Times New Roman" w:hAnsi="Times New Roman"/>
                <w:kern w:val="0"/>
                <w:sz w:val="24"/>
              </w:rPr>
              <w:t>6</w:t>
            </w:r>
            <w:r>
              <w:rPr>
                <w:rFonts w:ascii="Times New Roman" w:hAnsi="Arial"/>
                <w:kern w:val="0"/>
                <w:sz w:val="24"/>
              </w:rPr>
              <w:t>：</w:t>
            </w:r>
            <w:r>
              <w:rPr>
                <w:rFonts w:ascii="Times New Roman" w:hAnsi="Times New Roman"/>
                <w:kern w:val="0"/>
                <w:sz w:val="24"/>
              </w:rPr>
              <w:t xml:space="preserve">00 </w:t>
            </w:r>
            <w:r>
              <w:rPr>
                <w:rFonts w:ascii="Times New Roman" w:hAnsi="Arial"/>
                <w:kern w:val="0"/>
                <w:sz w:val="24"/>
              </w:rPr>
              <w:t>期间施工。</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3</w:t>
            </w:r>
            <w:r>
              <w:rPr>
                <w:rFonts w:ascii="Times New Roman" w:hAnsi="Arial"/>
                <w:kern w:val="0"/>
                <w:sz w:val="24"/>
              </w:rPr>
              <w:t>）项目在不影响施工情况下将噪声设备尽量不集中安排，同时对固定的机械设备尽量入棚操作，且设置在远离噪声敏感建筑物一侧。</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4</w:t>
            </w:r>
            <w:r>
              <w:rPr>
                <w:rFonts w:ascii="Times New Roman" w:hAnsi="Arial"/>
                <w:kern w:val="0"/>
                <w:sz w:val="24"/>
              </w:rPr>
              <w:t>）项目使用了商品混凝土，避免混凝土搅拌机等噪声的影响。</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5</w:t>
            </w:r>
            <w:r>
              <w:rPr>
                <w:rFonts w:ascii="Times New Roman" w:hAnsi="Arial"/>
                <w:kern w:val="0"/>
                <w:sz w:val="24"/>
              </w:rPr>
              <w:t>）施工结构阶段和装修阶段，对建筑物的外部应采用围挡，以减轻设备噪声对周围环境的影响；</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6</w:t>
            </w:r>
            <w:r>
              <w:rPr>
                <w:rFonts w:ascii="Times New Roman" w:hAnsi="Arial"/>
                <w:kern w:val="0"/>
                <w:sz w:val="24"/>
              </w:rPr>
              <w:t>）施工车辆出入现场时保持低速、禁鸣。</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7</w:t>
            </w:r>
            <w:r>
              <w:rPr>
                <w:rFonts w:ascii="Times New Roman" w:hAnsi="Arial"/>
                <w:kern w:val="0"/>
                <w:sz w:val="24"/>
              </w:rPr>
              <w:t>）建设工程施工现场装卸建筑材料采取减轻噪声的方式，不得倾倒或者抛掷金属管材、模板等材料。</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8</w:t>
            </w:r>
            <w:r>
              <w:rPr>
                <w:rFonts w:ascii="Times New Roman" w:hAnsi="Arial"/>
                <w:kern w:val="0"/>
                <w:sz w:val="24"/>
              </w:rPr>
              <w:t>）加强对施工场地的噪声管理，对施工噪声进行自律，文明施工，避免因施工噪声产生纠纷。</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4</w:t>
            </w:r>
            <w:r>
              <w:rPr>
                <w:rFonts w:ascii="Times New Roman" w:hAnsi="Arial"/>
                <w:kern w:val="0"/>
                <w:sz w:val="24"/>
              </w:rPr>
              <w:t>、固体废物</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1</w:t>
            </w:r>
            <w:r>
              <w:rPr>
                <w:rFonts w:ascii="Times New Roman" w:hAnsi="Arial"/>
                <w:kern w:val="0"/>
                <w:sz w:val="24"/>
              </w:rPr>
              <w:t>）施工单位在施工场地设立了垃圾桶及垃圾堆，对生活垃圾采取定点收集、定时清理，并统一交由环卫部门处置。</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2</w:t>
            </w:r>
            <w:r>
              <w:rPr>
                <w:rFonts w:ascii="Times New Roman" w:hAnsi="Arial"/>
                <w:kern w:val="0"/>
                <w:sz w:val="24"/>
              </w:rPr>
              <w:t>）在施工过程中，施工单位及时将弃土运至弃土场，并对运输车辆采取了遮盖、限超载等措施，避免了在运输线路上泥土的洒落。</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3</w:t>
            </w:r>
            <w:r>
              <w:rPr>
                <w:rFonts w:ascii="Times New Roman" w:hAnsi="Arial"/>
                <w:kern w:val="0"/>
                <w:sz w:val="24"/>
              </w:rPr>
              <w:t>）施工方对建筑垃圾进行了分类堆放，建筑垃圾根据《杭州市建设工程渣土管理办法》在其规定的已合法登记的消纳场地内处理，并且运输车辆密闭化；对于生活垃圾进行了防渗处理，避免污染附近的水体。</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5</w:t>
            </w:r>
            <w:r>
              <w:rPr>
                <w:rFonts w:ascii="Times New Roman" w:hAnsi="Arial"/>
                <w:kern w:val="0"/>
                <w:sz w:val="24"/>
              </w:rPr>
              <w:t>、生态保护</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加强绿化，包括立体绿化，尽量扩大绿化面积，积极采取措施防止和降低水污染、空气污染和噪声污染。</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6</w:t>
            </w:r>
            <w:r>
              <w:rPr>
                <w:rFonts w:ascii="Times New Roman" w:hAnsi="Arial"/>
                <w:kern w:val="0"/>
                <w:sz w:val="24"/>
              </w:rPr>
              <w:t>、施工期环保投诉情况</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项目施工过程中没有发现明显的环境污染问题，各项环保措施落实情况较好，同时施工单位对施工过程中发现的问题能及时、有效加以解决，从而有效的减轻或纾缓了因项目建设对周围环境的不利影响和生态破坏。本项目整个施工期没有发生重大的环境污染事故，也没有收到有关本项目的环境污染事件的投诉。</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综上所述，本项目在施工过程中，遵照国家的相关环保规定，认真落实了环境影响报告书和环评批复的各项要求，积极采取了各种污染防治措施，将因施工造成的环境污染影响降低到了较低的水平。施工期间未发生重大环境影响问题，基本符合竣工环境保护验收条件。</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3.2</w:t>
            </w:r>
            <w:r>
              <w:rPr>
                <w:rFonts w:ascii="Times New Roman" w:hAnsi="Arial"/>
                <w:kern w:val="0"/>
                <w:sz w:val="24"/>
              </w:rPr>
              <w:t>运营期环保措施及落实情况</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1</w:t>
            </w:r>
            <w:r>
              <w:rPr>
                <w:rFonts w:ascii="Times New Roman" w:hAnsi="Arial"/>
                <w:kern w:val="0"/>
                <w:sz w:val="24"/>
              </w:rPr>
              <w:t>、大气环境</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运营期主要大气污染物为天然气锅炉烟气、实验室废气、汽车尾气、垃圾房臭气和食堂油烟废气。</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1</w:t>
            </w:r>
            <w:r>
              <w:rPr>
                <w:rFonts w:ascii="Times New Roman" w:hAnsi="Arial"/>
                <w:kern w:val="0"/>
                <w:sz w:val="24"/>
              </w:rPr>
              <w:t>）汽车尾气</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本项目对地下室机动车库设置排风系统，地下车库汽车尾气经排放竖井引至屋顶排放。根据现场踏看，项目共设置</w:t>
            </w:r>
            <w:r>
              <w:rPr>
                <w:rFonts w:ascii="Times New Roman" w:hAnsi="Times New Roman"/>
                <w:kern w:val="0"/>
                <w:sz w:val="24"/>
              </w:rPr>
              <w:t>8</w:t>
            </w:r>
            <w:r>
              <w:rPr>
                <w:rFonts w:ascii="Times New Roman" w:hAnsi="Arial"/>
                <w:kern w:val="0"/>
                <w:sz w:val="24"/>
              </w:rPr>
              <w:t>处汽车尾气排风竖井，尾气井不具备采样监测条件，根据</w:t>
            </w:r>
            <w:r>
              <w:rPr>
                <w:rFonts w:hint="eastAsia" w:ascii="Times New Roman" w:hAnsi="Arial"/>
                <w:sz w:val="24"/>
                <w:lang w:val="en-US" w:eastAsia="zh-CN"/>
              </w:rPr>
              <w:t>学校场界</w:t>
            </w:r>
            <w:r>
              <w:rPr>
                <w:rFonts w:ascii="Times New Roman" w:hAnsi="Arial"/>
                <w:kern w:val="0"/>
                <w:sz w:val="24"/>
              </w:rPr>
              <w:t>无组织监测结果，非甲烷总烃和氮氧化物浓度均低于《大气污染物综合排放标准》（</w:t>
            </w:r>
            <w:r>
              <w:rPr>
                <w:rFonts w:ascii="Times New Roman" w:hAnsi="Times New Roman"/>
                <w:kern w:val="0"/>
                <w:sz w:val="24"/>
              </w:rPr>
              <w:t>GB 16297-1996</w:t>
            </w:r>
            <w:r>
              <w:rPr>
                <w:rFonts w:ascii="Times New Roman" w:hAnsi="Arial"/>
                <w:kern w:val="0"/>
                <w:sz w:val="24"/>
              </w:rPr>
              <w:t>）中表</w:t>
            </w:r>
            <w:r>
              <w:rPr>
                <w:rFonts w:ascii="Times New Roman" w:hAnsi="Times New Roman"/>
                <w:kern w:val="0"/>
                <w:sz w:val="24"/>
              </w:rPr>
              <w:t>2</w:t>
            </w:r>
            <w:r>
              <w:rPr>
                <w:rFonts w:hint="eastAsia" w:ascii="Times New Roman" w:hAnsi="Times New Roman"/>
                <w:kern w:val="0"/>
                <w:sz w:val="24"/>
              </w:rPr>
              <w:t>“</w:t>
            </w:r>
            <w:r>
              <w:rPr>
                <w:rFonts w:ascii="Times New Roman" w:hAnsi="Arial"/>
                <w:kern w:val="0"/>
                <w:sz w:val="24"/>
              </w:rPr>
              <w:t>无组织排放监控浓度限值</w:t>
            </w:r>
            <w:r>
              <w:rPr>
                <w:rFonts w:hint="eastAsia" w:ascii="Times New Roman" w:hAnsi="Times New Roman"/>
                <w:kern w:val="0"/>
                <w:sz w:val="24"/>
              </w:rPr>
              <w:t>”</w:t>
            </w:r>
            <w:r>
              <w:rPr>
                <w:rFonts w:hint="eastAsia" w:ascii="Times New Roman" w:hAnsi="Arial"/>
                <w:kern w:val="0"/>
                <w:sz w:val="24"/>
              </w:rPr>
              <w:t>。</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2</w:t>
            </w:r>
            <w:r>
              <w:rPr>
                <w:rFonts w:ascii="Times New Roman" w:hAnsi="Arial"/>
                <w:kern w:val="0"/>
                <w:sz w:val="24"/>
              </w:rPr>
              <w:t>）实验室废气</w:t>
            </w:r>
          </w:p>
          <w:p>
            <w:pPr>
              <w:kinsoku w:val="0"/>
              <w:overflowPunct w:val="0"/>
              <w:autoSpaceDE w:val="0"/>
              <w:autoSpaceDN w:val="0"/>
              <w:spacing w:line="360" w:lineRule="auto"/>
              <w:ind w:firstLine="480" w:firstLineChars="200"/>
              <w:rPr>
                <w:rFonts w:ascii="Times New Roman" w:hAnsi="Times New Roman"/>
                <w:kern w:val="0"/>
                <w:sz w:val="24"/>
              </w:rPr>
            </w:pPr>
            <w:r>
              <w:rPr>
                <w:rFonts w:hint="eastAsia" w:ascii="Times New Roman" w:hAnsi="Arial"/>
                <w:color w:val="FF0000"/>
                <w:kern w:val="0"/>
                <w:sz w:val="24"/>
              </w:rPr>
              <w:t>实验室内使用的化学品为稀硫酸，氢氧化钠，氢氧化钙，硫酸铜，碳酸钙，碳酸钠，氯化钠等无机化学品，单种化学品年用量均为0.001t/a，仅产生少量酸碱废气，</w:t>
            </w:r>
            <w:r>
              <w:rPr>
                <w:rFonts w:hint="eastAsia" w:ascii="Times New Roman" w:hAnsi="Arial"/>
                <w:color w:val="FF0000"/>
                <w:kern w:val="0"/>
                <w:sz w:val="24"/>
                <w:lang w:val="en-US" w:eastAsia="zh-CN"/>
              </w:rPr>
              <w:t>不进行定量分析，</w:t>
            </w:r>
            <w:r>
              <w:rPr>
                <w:rFonts w:hint="eastAsia" w:ascii="Times New Roman" w:hAnsi="Arial"/>
                <w:color w:val="FF0000"/>
                <w:kern w:val="0"/>
                <w:sz w:val="24"/>
              </w:rPr>
              <w:t>实验操作在通风橱内进行，实验室废气无组织排放</w:t>
            </w:r>
            <w:r>
              <w:rPr>
                <w:rFonts w:ascii="Times New Roman" w:hAnsi="Arial"/>
                <w:kern w:val="0"/>
                <w:sz w:val="24"/>
              </w:rPr>
              <w:t>。</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3</w:t>
            </w:r>
            <w:r>
              <w:rPr>
                <w:rFonts w:ascii="Times New Roman" w:hAnsi="Arial"/>
                <w:kern w:val="0"/>
                <w:sz w:val="24"/>
              </w:rPr>
              <w:t>）天然气锅炉烟气</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项目共设</w:t>
            </w:r>
            <w:r>
              <w:rPr>
                <w:rFonts w:hint="eastAsia" w:ascii="Times New Roman" w:hAnsi="Times New Roman"/>
                <w:kern w:val="0"/>
                <w:sz w:val="24"/>
                <w:lang w:val="en-US" w:eastAsia="zh-CN"/>
              </w:rPr>
              <w:t>2</w:t>
            </w:r>
            <w:r>
              <w:rPr>
                <w:rFonts w:ascii="Times New Roman" w:hAnsi="Arial"/>
                <w:kern w:val="0"/>
                <w:sz w:val="24"/>
              </w:rPr>
              <w:t>台天然气热水锅炉</w:t>
            </w:r>
            <w:r>
              <w:rPr>
                <w:rFonts w:hint="eastAsia" w:ascii="Times New Roman" w:hAnsi="Arial"/>
                <w:kern w:val="0"/>
                <w:sz w:val="24"/>
                <w:lang w:eastAsia="zh-CN"/>
              </w:rPr>
              <w:t>，</w:t>
            </w:r>
            <w:r>
              <w:rPr>
                <w:rFonts w:hint="eastAsia" w:ascii="Times New Roman" w:hAnsi="Arial"/>
                <w:color w:val="FF0000"/>
                <w:kern w:val="0"/>
                <w:sz w:val="24"/>
                <w:lang w:val="en-US" w:eastAsia="zh-CN"/>
              </w:rPr>
              <w:t>一</w:t>
            </w:r>
            <w:r>
              <w:rPr>
                <w:rFonts w:hint="eastAsia" w:ascii="Times New Roman" w:hAnsi="Arial"/>
                <w:color w:val="FF0000"/>
                <w:kern w:val="0"/>
                <w:sz w:val="24"/>
                <w:lang w:eastAsia="zh-CN"/>
              </w:rPr>
              <w:t>用一备，型号分别为0.8</w:t>
            </w:r>
            <w:r>
              <w:rPr>
                <w:rFonts w:hint="eastAsia" w:ascii="Times New Roman" w:hAnsi="Arial"/>
                <w:color w:val="FF0000"/>
                <w:kern w:val="0"/>
                <w:sz w:val="24"/>
                <w:lang w:val="en-US" w:eastAsia="zh-CN"/>
              </w:rPr>
              <w:t>3</w:t>
            </w:r>
            <w:r>
              <w:rPr>
                <w:rFonts w:hint="eastAsia" w:ascii="Times New Roman" w:hAnsi="Arial"/>
                <w:color w:val="FF0000"/>
                <w:kern w:val="0"/>
                <w:sz w:val="24"/>
                <w:lang w:eastAsia="zh-CN"/>
              </w:rPr>
              <w:t>吨、0.5吨</w:t>
            </w:r>
            <w:r>
              <w:rPr>
                <w:rFonts w:ascii="Times New Roman" w:hAnsi="Arial"/>
                <w:color w:val="FF0000"/>
                <w:kern w:val="0"/>
                <w:sz w:val="24"/>
              </w:rPr>
              <w:t>，天然气燃烧废气经管道</w:t>
            </w:r>
            <w:r>
              <w:rPr>
                <w:rFonts w:hint="eastAsia" w:ascii="Times New Roman" w:hAnsi="Arial"/>
                <w:color w:val="FF0000"/>
                <w:kern w:val="0"/>
                <w:sz w:val="24"/>
                <w:lang w:val="en-US" w:eastAsia="zh-CN"/>
              </w:rPr>
              <w:t>分别</w:t>
            </w:r>
            <w:r>
              <w:rPr>
                <w:rFonts w:ascii="Times New Roman" w:hAnsi="Arial"/>
                <w:color w:val="FF0000"/>
                <w:kern w:val="0"/>
                <w:sz w:val="24"/>
              </w:rPr>
              <w:t>全部收集后</w:t>
            </w:r>
            <w:r>
              <w:rPr>
                <w:rFonts w:hint="eastAsia" w:ascii="Times New Roman" w:hAnsi="Arial"/>
                <w:color w:val="FF0000"/>
                <w:kern w:val="0"/>
                <w:sz w:val="24"/>
                <w:lang w:val="en-US" w:eastAsia="zh-CN"/>
              </w:rPr>
              <w:t>汇总到一根排气筒，</w:t>
            </w:r>
            <w:r>
              <w:rPr>
                <w:rFonts w:ascii="Times New Roman" w:hAnsi="Arial"/>
                <w:color w:val="FF0000"/>
                <w:kern w:val="0"/>
                <w:sz w:val="24"/>
              </w:rPr>
              <w:t>直接从屋顶排放</w:t>
            </w:r>
            <w:r>
              <w:rPr>
                <w:rFonts w:ascii="Times New Roman" w:hAnsi="Arial"/>
                <w:kern w:val="0"/>
                <w:sz w:val="24"/>
              </w:rPr>
              <w:t>，排风井高度为</w:t>
            </w:r>
            <w:r>
              <w:rPr>
                <w:rFonts w:ascii="Times New Roman" w:hAnsi="Times New Roman"/>
                <w:kern w:val="0"/>
                <w:sz w:val="24"/>
              </w:rPr>
              <w:t>15m</w:t>
            </w:r>
            <w:r>
              <w:rPr>
                <w:rFonts w:ascii="Times New Roman" w:hAnsi="Arial"/>
                <w:kern w:val="0"/>
                <w:sz w:val="24"/>
              </w:rPr>
              <w:t>，根据监测结果，天然气锅炉燃烧废气</w:t>
            </w:r>
            <w:r>
              <w:rPr>
                <w:rFonts w:hint="eastAsia" w:ascii="Times New Roman" w:hAnsi="Arial"/>
                <w:kern w:val="0"/>
                <w:sz w:val="24"/>
                <w:lang w:val="en-US" w:eastAsia="zh-CN"/>
              </w:rPr>
              <w:t>中各项污染物</w:t>
            </w:r>
            <w:r>
              <w:rPr>
                <w:rFonts w:ascii="Times New Roman" w:hAnsi="Arial"/>
                <w:kern w:val="0"/>
                <w:sz w:val="24"/>
              </w:rPr>
              <w:t>排放浓度均能满足《锅炉大气污染物排放标准》（</w:t>
            </w:r>
            <w:r>
              <w:rPr>
                <w:rFonts w:ascii="Times New Roman" w:hAnsi="Times New Roman"/>
                <w:kern w:val="0"/>
                <w:sz w:val="24"/>
              </w:rPr>
              <w:t>GB 13271-2014</w:t>
            </w:r>
            <w:r>
              <w:rPr>
                <w:rFonts w:ascii="Times New Roman" w:hAnsi="Arial"/>
                <w:kern w:val="0"/>
                <w:sz w:val="24"/>
              </w:rPr>
              <w:t>）中的大气污染物特别排放标准限值要求。</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4</w:t>
            </w:r>
            <w:r>
              <w:rPr>
                <w:rFonts w:ascii="Times New Roman" w:hAnsi="Arial"/>
                <w:kern w:val="0"/>
                <w:sz w:val="24"/>
              </w:rPr>
              <w:t>）食堂油烟废气</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食堂餐饮油烟废气收集后引至屋顶经高效油烟净化装置净化后排放，园区设油烟排放口</w:t>
            </w:r>
            <w:r>
              <w:rPr>
                <w:rFonts w:ascii="Times New Roman" w:hAnsi="Times New Roman"/>
                <w:kern w:val="0"/>
                <w:sz w:val="24"/>
              </w:rPr>
              <w:t>2</w:t>
            </w:r>
            <w:r>
              <w:rPr>
                <w:rFonts w:ascii="Times New Roman" w:hAnsi="Arial"/>
                <w:kern w:val="0"/>
                <w:sz w:val="24"/>
              </w:rPr>
              <w:t>处，根据监测结果，</w:t>
            </w:r>
            <w:r>
              <w:rPr>
                <w:rFonts w:ascii="Times New Roman" w:hAnsi="Times New Roman"/>
                <w:kern w:val="0"/>
                <w:sz w:val="24"/>
              </w:rPr>
              <w:t>2</w:t>
            </w:r>
            <w:r>
              <w:rPr>
                <w:rFonts w:ascii="Times New Roman" w:hAnsi="Arial"/>
                <w:kern w:val="0"/>
                <w:sz w:val="24"/>
              </w:rPr>
              <w:t>个油烟井油烟排放浓度均低于《饮食业油烟排放标准（试行）》（</w:t>
            </w:r>
            <w:r>
              <w:rPr>
                <w:rFonts w:ascii="Times New Roman" w:hAnsi="Times New Roman"/>
                <w:kern w:val="0"/>
                <w:sz w:val="24"/>
              </w:rPr>
              <w:t>GB 18483-2001</w:t>
            </w:r>
            <w:r>
              <w:rPr>
                <w:rFonts w:ascii="Times New Roman" w:hAnsi="Arial"/>
                <w:kern w:val="0"/>
                <w:sz w:val="24"/>
              </w:rPr>
              <w:t>）规定的最高允许排放浓度要求。</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5</w:t>
            </w:r>
            <w:r>
              <w:rPr>
                <w:rFonts w:ascii="Times New Roman" w:hAnsi="Arial"/>
                <w:kern w:val="0"/>
                <w:sz w:val="24"/>
              </w:rPr>
              <w:t>）垃圾房臭气</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项目在学校内设有一个垃圾房，垃圾房内仅安放盖式垃圾桶，主要用于校园内的垃圾收集和临时堆放，在垃圾的收集、转运过程中，部分易腐败的有机垃圾由于其分解会发出异味，对环境的影响主要表现为恶臭。本项目垃圾收集房规模不大，垃圾采用袋装化、密闭存放，减少恶臭污染。</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环评及环评批文提出的运营期大气环境保护措施均得到落实，项目各项废气排放对周边环境空气无明显影响。</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2</w:t>
            </w:r>
            <w:r>
              <w:rPr>
                <w:rFonts w:ascii="Times New Roman" w:hAnsi="Arial"/>
                <w:kern w:val="0"/>
                <w:sz w:val="24"/>
              </w:rPr>
              <w:t>、水环境</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项目运营期排放的废水主要为生活污水、食堂含油废水、实验室废水、游泳池废水。</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项目食堂厨房含油废水经隔油除渣等预处理、冲厕废水经化粪池预处理、实验室废水经中和池处理后纳入城市污水管网；游泳池废水平均每个月排放一次，废水需先经过滤除去毛发等杂质，再沉淀去除</w:t>
            </w:r>
            <w:r>
              <w:rPr>
                <w:rFonts w:ascii="Times New Roman" w:hAnsi="Times New Roman"/>
                <w:kern w:val="0"/>
                <w:sz w:val="24"/>
              </w:rPr>
              <w:t>SS</w:t>
            </w:r>
            <w:r>
              <w:rPr>
                <w:rFonts w:ascii="Times New Roman" w:hAnsi="Arial"/>
                <w:kern w:val="0"/>
                <w:sz w:val="24"/>
              </w:rPr>
              <w:t>后，与经化粪池预处理后的其它生活污水一道接入污水管网后送临平净水厂处理。</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经上述措施，项目运营产生的生活污水不会对周边水体产生不良影响。</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3</w:t>
            </w:r>
            <w:r>
              <w:rPr>
                <w:rFonts w:ascii="Times New Roman" w:hAnsi="Arial"/>
                <w:kern w:val="0"/>
                <w:sz w:val="24"/>
              </w:rPr>
              <w:t>、声环境</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项目产生的噪声的源强主要为风机、水泵、配电房、风机室外机等设备噪声和地库出入库交通噪声等。</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除空调室外机外，水泵房、通风机房和变配电间等强噪声源均置于地下，已不是影响教学活动的主要噪声源。</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生活水泵均选用低噪音的产品，水泵基础采用减震基础，泵房内均采用弹性减震吊支架；</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空调、风机等均采用低噪音型，分机出入口设置消声器，风机房内墙各面均贴</w:t>
            </w:r>
            <w:r>
              <w:rPr>
                <w:rFonts w:ascii="Times New Roman" w:hAnsi="Times New Roman"/>
                <w:kern w:val="0"/>
                <w:sz w:val="24"/>
              </w:rPr>
              <w:t>50mm</w:t>
            </w:r>
            <w:r>
              <w:rPr>
                <w:rFonts w:ascii="Times New Roman" w:hAnsi="Arial"/>
                <w:kern w:val="0"/>
                <w:sz w:val="24"/>
              </w:rPr>
              <w:t>厚超细玻璃棉毡，玻璃棉毡以</w:t>
            </w:r>
            <w:r>
              <w:rPr>
                <w:rFonts w:ascii="Times New Roman" w:hAnsi="Times New Roman"/>
                <w:kern w:val="0"/>
                <w:sz w:val="24"/>
              </w:rPr>
              <w:t>50x50</w:t>
            </w:r>
            <w:r>
              <w:rPr>
                <w:rFonts w:ascii="Times New Roman" w:hAnsi="Arial"/>
                <w:kern w:val="0"/>
                <w:sz w:val="24"/>
              </w:rPr>
              <w:t>木筋分隔，外覆玻璃布，并用</w:t>
            </w:r>
            <w:r>
              <w:rPr>
                <w:rFonts w:ascii="Times New Roman" w:hAnsi="Times New Roman"/>
                <w:kern w:val="0"/>
                <w:sz w:val="24"/>
              </w:rPr>
              <w:t>1.0m</w:t>
            </w:r>
            <w:r>
              <w:rPr>
                <w:rFonts w:ascii="Times New Roman" w:hAnsi="Arial"/>
                <w:kern w:val="0"/>
                <w:sz w:val="24"/>
              </w:rPr>
              <w:t>厚穿孔镀锌钢板（孔径</w:t>
            </w:r>
            <w:r>
              <w:rPr>
                <w:rFonts w:ascii="Times New Roman" w:hAnsi="Times New Roman"/>
                <w:kern w:val="0"/>
                <w:sz w:val="24"/>
              </w:rPr>
              <w:t xml:space="preserve"> 5mm</w:t>
            </w:r>
            <w:r>
              <w:rPr>
                <w:rFonts w:ascii="Times New Roman" w:hAnsi="Arial"/>
                <w:kern w:val="0"/>
                <w:sz w:val="24"/>
              </w:rPr>
              <w:t>，孔距</w:t>
            </w:r>
            <w:r>
              <w:rPr>
                <w:rFonts w:ascii="Times New Roman" w:hAnsi="Times New Roman"/>
                <w:kern w:val="0"/>
                <w:sz w:val="24"/>
              </w:rPr>
              <w:t xml:space="preserve"> 20mm</w:t>
            </w:r>
            <w:r>
              <w:rPr>
                <w:rFonts w:ascii="Times New Roman" w:hAnsi="Arial"/>
                <w:kern w:val="0"/>
                <w:sz w:val="24"/>
              </w:rPr>
              <w:t>）作为饰面材料。</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机房门外开，采用隔声防火门。各风机均采取设置减振基础或减振吊架，管道上设置消音器等措施防止噪音污染。</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根据监测结果，</w:t>
            </w:r>
            <w:r>
              <w:rPr>
                <w:rFonts w:hint="eastAsia" w:ascii="Times New Roman" w:hAnsi="Arial"/>
                <w:sz w:val="24"/>
                <w:lang w:val="en-US" w:eastAsia="zh-CN"/>
              </w:rPr>
              <w:t>学校场界</w:t>
            </w:r>
            <w:r>
              <w:rPr>
                <w:rFonts w:hint="eastAsia" w:ascii="Times New Roman" w:hAnsi="Times New Roman"/>
                <w:kern w:val="0"/>
                <w:sz w:val="24"/>
              </w:rPr>
              <w:t>东南、西南、西北侧噪声排放均满足《工业企业厂界环境噪声排放标准》（</w:t>
            </w:r>
            <w:r>
              <w:rPr>
                <w:rFonts w:ascii="Times New Roman" w:hAnsi="Times New Roman"/>
                <w:kern w:val="0"/>
                <w:sz w:val="24"/>
              </w:rPr>
              <w:t>GB-12348-2008</w:t>
            </w:r>
            <w:r>
              <w:rPr>
                <w:rFonts w:hint="eastAsia" w:ascii="Times New Roman" w:hAnsi="Times New Roman"/>
                <w:kern w:val="0"/>
                <w:sz w:val="24"/>
              </w:rPr>
              <w:t>）中</w:t>
            </w:r>
            <w:r>
              <w:rPr>
                <w:rFonts w:ascii="Times New Roman" w:hAnsi="Times New Roman"/>
                <w:kern w:val="0"/>
                <w:sz w:val="24"/>
              </w:rPr>
              <w:t>2</w:t>
            </w:r>
            <w:r>
              <w:rPr>
                <w:rFonts w:hint="eastAsia" w:ascii="Times New Roman" w:hAnsi="Times New Roman"/>
                <w:kern w:val="0"/>
                <w:sz w:val="24"/>
              </w:rPr>
              <w:t>类排放标准限值，东北侧噪声排放满足4a类标准要求。声环境保护目标噪声监测值能满足《声环境质量标准》（GB3096-2008）中2类标准要求</w:t>
            </w:r>
            <w:r>
              <w:rPr>
                <w:rFonts w:ascii="Times New Roman" w:hAnsi="Arial"/>
                <w:kern w:val="0"/>
                <w:sz w:val="24"/>
              </w:rPr>
              <w:t>，说明项目采取的声环境保护措施有效的降低了设备噪声对周边环境的影响。</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4</w:t>
            </w:r>
            <w:r>
              <w:rPr>
                <w:rFonts w:ascii="Times New Roman" w:hAnsi="Arial"/>
                <w:kern w:val="0"/>
                <w:sz w:val="24"/>
              </w:rPr>
              <w:t>、固体废物</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本项目运营期产生的固体废物主要为生活垃圾、实验室废物、食堂餐饮固废、隔油池废油。</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Arial"/>
                <w:kern w:val="0"/>
                <w:sz w:val="24"/>
              </w:rPr>
              <w:t>生活垃圾分类收集，委托环卫部门统一及时清运与处置。实验室废物贮存在危险废物贮存间内，委托</w:t>
            </w:r>
            <w:r>
              <w:rPr>
                <w:rFonts w:hint="eastAsia" w:ascii="Times New Roman" w:hAnsi="Arial"/>
                <w:color w:val="FF0000"/>
                <w:kern w:val="0"/>
                <w:sz w:val="24"/>
                <w:lang w:val="en-US" w:eastAsia="zh-CN"/>
              </w:rPr>
              <w:t>杭州立佳环境服务有限公司</w:t>
            </w:r>
            <w:r>
              <w:rPr>
                <w:rFonts w:ascii="Times New Roman" w:hAnsi="Arial"/>
                <w:kern w:val="0"/>
                <w:sz w:val="24"/>
              </w:rPr>
              <w:t>定期处置；食堂餐饮固废中废包装箱、饮料罐等收集后出售综合利用</w:t>
            </w:r>
            <w:r>
              <w:rPr>
                <w:rFonts w:hint="eastAsia" w:ascii="Times New Roman" w:hAnsi="Arial"/>
                <w:kern w:val="0"/>
                <w:sz w:val="24"/>
              </w:rPr>
              <w:t>，</w:t>
            </w:r>
            <w:r>
              <w:rPr>
                <w:rFonts w:ascii="Times New Roman" w:hAnsi="Arial"/>
                <w:kern w:val="0"/>
                <w:sz w:val="24"/>
              </w:rPr>
              <w:t>原料边角料及剩饭剩菜出售给农户做饲料；隔油池废油收集后委托有资质的单位处置。</w:t>
            </w:r>
          </w:p>
          <w:p>
            <w:pPr>
              <w:kinsoku w:val="0"/>
              <w:overflowPunct w:val="0"/>
              <w:autoSpaceDE w:val="0"/>
              <w:autoSpaceDN w:val="0"/>
              <w:spacing w:line="360" w:lineRule="auto"/>
              <w:ind w:firstLine="480" w:firstLineChars="200"/>
              <w:rPr>
                <w:rFonts w:ascii="Times New Roman" w:hAnsi="Times New Roman"/>
                <w:kern w:val="0"/>
                <w:sz w:val="24"/>
              </w:rPr>
            </w:pPr>
            <w:r>
              <w:rPr>
                <w:rFonts w:ascii="Times New Roman" w:hAnsi="Times New Roman"/>
                <w:kern w:val="0"/>
                <w:sz w:val="24"/>
              </w:rPr>
              <w:t>5</w:t>
            </w:r>
            <w:r>
              <w:rPr>
                <w:rFonts w:ascii="Times New Roman" w:hAnsi="Arial"/>
                <w:kern w:val="0"/>
                <w:sz w:val="24"/>
              </w:rPr>
              <w:t>、其他</w:t>
            </w:r>
          </w:p>
          <w:p>
            <w:pPr>
              <w:kinsoku w:val="0"/>
              <w:overflowPunct w:val="0"/>
              <w:autoSpaceDE w:val="0"/>
              <w:autoSpaceDN w:val="0"/>
              <w:spacing w:line="360" w:lineRule="auto"/>
              <w:ind w:firstLine="480" w:firstLineChars="200"/>
              <w:rPr>
                <w:rFonts w:ascii="Arial" w:hAnsi="Arial" w:cs="Arial"/>
                <w:kern w:val="0"/>
                <w:sz w:val="24"/>
              </w:rPr>
            </w:pPr>
            <w:r>
              <w:rPr>
                <w:rFonts w:ascii="Times New Roman" w:hAnsi="Arial"/>
                <w:kern w:val="0"/>
                <w:sz w:val="24"/>
              </w:rPr>
              <w:t>项目总体绿地率为</w:t>
            </w:r>
            <w:r>
              <w:rPr>
                <w:rFonts w:ascii="Times New Roman" w:hAnsi="Times New Roman"/>
                <w:kern w:val="0"/>
                <w:sz w:val="24"/>
              </w:rPr>
              <w:t>35%</w:t>
            </w:r>
            <w:r>
              <w:rPr>
                <w:rFonts w:ascii="Times New Roman" w:hAnsi="Arial"/>
                <w:kern w:val="0"/>
                <w:sz w:val="24"/>
              </w:rPr>
              <w:t>，采用乔、灌、草相结合的绿化形式，达到生态补偿的目的，在一定程度上可以改善区域生态系统功能。</w:t>
            </w:r>
          </w:p>
          <w:p>
            <w:pPr>
              <w:spacing w:line="360" w:lineRule="auto"/>
              <w:rPr>
                <w:rFonts w:cstheme="minorBidi"/>
                <w:kern w:val="0"/>
                <w:sz w:val="24"/>
              </w:rPr>
            </w:pPr>
          </w:p>
        </w:tc>
      </w:tr>
    </w:tbl>
    <w:p>
      <w:pPr>
        <w:pStyle w:val="3"/>
        <w:rPr>
          <w:rFonts w:ascii="Arial" w:hAnsi="Arial" w:cs="Arial"/>
        </w:rPr>
        <w:sectPr>
          <w:pgSz w:w="11906" w:h="16838"/>
          <w:pgMar w:top="1440" w:right="1800" w:bottom="1440" w:left="1800" w:header="851" w:footer="992" w:gutter="0"/>
          <w:cols w:space="425" w:num="1"/>
          <w:docGrid w:type="lines" w:linePitch="312" w:charSpace="0"/>
        </w:sectPr>
      </w:pPr>
      <w:bookmarkStart w:id="6" w:name="_Toc30359"/>
    </w:p>
    <w:p>
      <w:pPr>
        <w:pStyle w:val="3"/>
        <w:rPr>
          <w:rFonts w:ascii="Arial" w:hAnsi="Arial" w:cs="Arial"/>
        </w:rPr>
      </w:pPr>
      <w:r>
        <w:rPr>
          <w:rFonts w:hint="eastAsia" w:ascii="Arial" w:hAnsi="Arial" w:cs="Arial"/>
        </w:rPr>
        <w:t>表四建设项目环境影响报告表主要结论及审批部门审批决定</w:t>
      </w:r>
      <w:bookmarkEnd w:id="6"/>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Borders>
              <w:top w:val="single" w:color="auto" w:sz="4" w:space="0"/>
              <w:left w:val="single" w:color="auto" w:sz="4" w:space="0"/>
              <w:bottom w:val="single" w:color="auto" w:sz="4" w:space="0"/>
              <w:right w:val="single" w:color="auto" w:sz="4" w:space="0"/>
            </w:tcBorders>
          </w:tcPr>
          <w:p>
            <w:pPr>
              <w:spacing w:line="360" w:lineRule="auto"/>
              <w:ind w:firstLine="482" w:firstLineChars="200"/>
              <w:rPr>
                <w:rFonts w:ascii="Times New Roman" w:hAnsi="Times New Roman"/>
                <w:b/>
                <w:bCs/>
                <w:kern w:val="0"/>
                <w:sz w:val="24"/>
              </w:rPr>
            </w:pPr>
            <w:r>
              <w:rPr>
                <w:rFonts w:ascii="Times New Roman" w:hAnsi="Times New Roman"/>
                <w:b/>
                <w:bCs/>
                <w:kern w:val="0"/>
                <w:sz w:val="24"/>
              </w:rPr>
              <w:t>4.1</w:t>
            </w:r>
            <w:r>
              <w:rPr>
                <w:rFonts w:ascii="Times New Roman" w:hAnsi="Arial"/>
                <w:b/>
                <w:bCs/>
                <w:kern w:val="0"/>
                <w:sz w:val="24"/>
              </w:rPr>
              <w:t>建设项目环境影响报告表主要结论</w:t>
            </w:r>
          </w:p>
          <w:p>
            <w:pPr>
              <w:spacing w:line="360" w:lineRule="auto"/>
              <w:ind w:firstLine="480" w:firstLineChars="200"/>
              <w:rPr>
                <w:rFonts w:ascii="Times New Roman" w:hAnsi="Times New Roman"/>
                <w:kern w:val="0"/>
                <w:sz w:val="24"/>
              </w:rPr>
            </w:pPr>
            <w:r>
              <w:rPr>
                <w:rFonts w:ascii="Times New Roman" w:hAnsi="Times New Roman"/>
                <w:kern w:val="0"/>
                <w:sz w:val="24"/>
              </w:rPr>
              <w:t xml:space="preserve">4.1.1 </w:t>
            </w:r>
            <w:r>
              <w:rPr>
                <w:rFonts w:ascii="Times New Roman" w:hAnsi="Arial"/>
                <w:kern w:val="0"/>
                <w:sz w:val="24"/>
              </w:rPr>
              <w:t>污染治理对策与环境影响分析结论</w:t>
            </w:r>
          </w:p>
          <w:p>
            <w:pPr>
              <w:spacing w:line="360" w:lineRule="auto"/>
              <w:ind w:firstLine="480" w:firstLineChars="200"/>
              <w:rPr>
                <w:rFonts w:ascii="Times New Roman" w:hAnsi="Arial"/>
                <w:kern w:val="0"/>
                <w:sz w:val="24"/>
              </w:rPr>
            </w:pPr>
            <w:r>
              <w:rPr>
                <w:rFonts w:ascii="Times New Roman" w:hAnsi="Arial"/>
                <w:kern w:val="0"/>
                <w:sz w:val="24"/>
              </w:rPr>
              <w:t>（</w:t>
            </w:r>
            <w:r>
              <w:rPr>
                <w:rFonts w:ascii="Times New Roman" w:hAnsi="Times New Roman"/>
                <w:kern w:val="0"/>
                <w:sz w:val="24"/>
              </w:rPr>
              <w:t>1</w:t>
            </w:r>
            <w:r>
              <w:rPr>
                <w:rFonts w:ascii="Times New Roman" w:hAnsi="Arial"/>
                <w:kern w:val="0"/>
                <w:sz w:val="24"/>
              </w:rPr>
              <w:t>）废水</w:t>
            </w:r>
          </w:p>
          <w:p>
            <w:pPr>
              <w:spacing w:line="360" w:lineRule="auto"/>
              <w:ind w:firstLine="480" w:firstLineChars="200"/>
              <w:rPr>
                <w:rFonts w:ascii="Times New Roman" w:hAnsi="Times New Roman"/>
                <w:kern w:val="0"/>
                <w:sz w:val="24"/>
              </w:rPr>
            </w:pPr>
            <w:r>
              <w:rPr>
                <w:rFonts w:hint="eastAsia" w:ascii="Times New Roman" w:hAnsi="Times New Roman"/>
                <w:kern w:val="0"/>
                <w:sz w:val="24"/>
              </w:rPr>
              <w:t>项目废水主要为生活污水、食堂含油废水、实验室废水、游泳池废水。食堂厨房含油废水经隔油除渣等预处理、冲厕废水经化粪池预处理、实验室废水经中和池处理后纳入城市污水管网；游泳池废水平均每个月排放一次，废水需先经过滤除去毛发等杂质，再沉淀去除SS后，与经化粪池预处理后的其它生活污水一道接入污水管网后送临平净水厂处理。废水接管标准执行GB8978-1996《污水综合排放标准》三级标准，临平净水厂尾水排放执行《城镇污水处理厂污染物排放标准》（GB18918-2002）中的一级A标准（其中CODCr、NH3-N、总氮、总磷排放标准执行《城镇污水处理厂主要水污染物排放标准》（DB33/2169-2018）中表1现有城镇污水处理厂主要污染物排放限值），不会给周围环境带来不利影响。</w:t>
            </w:r>
          </w:p>
          <w:p>
            <w:pPr>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2</w:t>
            </w:r>
            <w:r>
              <w:rPr>
                <w:rFonts w:ascii="Times New Roman" w:hAnsi="Arial"/>
                <w:kern w:val="0"/>
                <w:sz w:val="24"/>
              </w:rPr>
              <w:t>）废气</w:t>
            </w:r>
          </w:p>
          <w:p>
            <w:pPr>
              <w:spacing w:line="360" w:lineRule="auto"/>
              <w:ind w:firstLine="480" w:firstLineChars="200"/>
              <w:rPr>
                <w:rFonts w:ascii="Times New Roman" w:hAnsi="Times New Roman"/>
                <w:kern w:val="0"/>
                <w:sz w:val="24"/>
              </w:rPr>
            </w:pPr>
            <w:r>
              <w:rPr>
                <w:rFonts w:ascii="Times New Roman" w:hAnsi="Arial"/>
                <w:kern w:val="0"/>
                <w:sz w:val="24"/>
              </w:rPr>
              <w:t>本项目的废气主要为汽车尾气</w:t>
            </w:r>
            <w:r>
              <w:rPr>
                <w:rFonts w:hint="eastAsia" w:ascii="Times New Roman" w:hAnsi="Arial"/>
                <w:kern w:val="0"/>
                <w:sz w:val="24"/>
              </w:rPr>
              <w:t>、实验室废气、</w:t>
            </w:r>
            <w:r>
              <w:rPr>
                <w:rFonts w:ascii="Times New Roman" w:hAnsi="Arial"/>
                <w:kern w:val="0"/>
                <w:sz w:val="24"/>
              </w:rPr>
              <w:t>食堂油烟废气、燃气锅炉废气</w:t>
            </w:r>
            <w:r>
              <w:rPr>
                <w:rFonts w:hint="eastAsia" w:ascii="Times New Roman" w:hAnsi="Arial"/>
                <w:kern w:val="0"/>
                <w:sz w:val="24"/>
              </w:rPr>
              <w:t>、垃圾房臭气</w:t>
            </w:r>
            <w:r>
              <w:rPr>
                <w:rFonts w:ascii="Times New Roman" w:hAnsi="Arial"/>
                <w:kern w:val="0"/>
                <w:sz w:val="24"/>
              </w:rPr>
              <w:t>。</w:t>
            </w:r>
          </w:p>
          <w:p>
            <w:pPr>
              <w:spacing w:line="360" w:lineRule="auto"/>
              <w:ind w:firstLine="480" w:firstLineChars="200"/>
              <w:rPr>
                <w:rFonts w:ascii="Times New Roman" w:hAnsi="Arial"/>
                <w:color w:val="000000" w:themeColor="text1"/>
                <w:kern w:val="0"/>
                <w:sz w:val="24"/>
              </w:rPr>
            </w:pPr>
            <w:r>
              <w:rPr>
                <w:rFonts w:ascii="Times New Roman" w:hAnsi="Arial"/>
                <w:color w:val="000000" w:themeColor="text1"/>
                <w:kern w:val="0"/>
                <w:sz w:val="24"/>
              </w:rPr>
              <w:t>根据</w:t>
            </w:r>
            <w:r>
              <w:rPr>
                <w:rFonts w:hint="eastAsia" w:ascii="Times New Roman" w:hAnsi="Arial"/>
                <w:color w:val="000000" w:themeColor="text1"/>
                <w:kern w:val="0"/>
                <w:sz w:val="24"/>
              </w:rPr>
              <w:t>原环评预测</w:t>
            </w:r>
            <w:r>
              <w:rPr>
                <w:rFonts w:ascii="Times New Roman" w:hAnsi="Arial"/>
                <w:color w:val="000000" w:themeColor="text1"/>
                <w:kern w:val="0"/>
                <w:sz w:val="24"/>
              </w:rPr>
              <w:t>结果，项目的地下车库汽车尾气最大小时落地浓度均符合《环境空气质量标准》（</w:t>
            </w:r>
            <w:r>
              <w:rPr>
                <w:rFonts w:ascii="Times New Roman" w:hAnsi="Times New Roman"/>
                <w:color w:val="000000" w:themeColor="text1"/>
                <w:kern w:val="0"/>
                <w:sz w:val="24"/>
              </w:rPr>
              <w:t>GB-3095-2012</w:t>
            </w:r>
            <w:r>
              <w:rPr>
                <w:rFonts w:ascii="Times New Roman" w:hAnsi="Arial"/>
                <w:color w:val="000000" w:themeColor="text1"/>
                <w:kern w:val="0"/>
                <w:sz w:val="24"/>
              </w:rPr>
              <w:t>）中的二级标准；本项目的车库出入口废气最大小时落地浓度均符合《环境空气质量标准》（</w:t>
            </w:r>
            <w:r>
              <w:rPr>
                <w:rFonts w:ascii="Times New Roman" w:hAnsi="Times New Roman"/>
                <w:color w:val="000000" w:themeColor="text1"/>
                <w:kern w:val="0"/>
                <w:sz w:val="24"/>
              </w:rPr>
              <w:t>GB-3095-2012</w:t>
            </w:r>
            <w:r>
              <w:rPr>
                <w:rFonts w:ascii="Times New Roman" w:hAnsi="Arial"/>
                <w:color w:val="000000" w:themeColor="text1"/>
                <w:kern w:val="0"/>
                <w:sz w:val="24"/>
              </w:rPr>
              <w:t>）中的二级标准，因此不会对周围空气环境产生不良影响。</w:t>
            </w:r>
          </w:p>
          <w:p>
            <w:pPr>
              <w:spacing w:line="360" w:lineRule="auto"/>
              <w:ind w:firstLine="480" w:firstLineChars="200"/>
              <w:rPr>
                <w:rFonts w:ascii="Times New Roman" w:hAnsi="Times New Roman"/>
                <w:color w:val="000000" w:themeColor="text1"/>
                <w:kern w:val="0"/>
                <w:sz w:val="24"/>
              </w:rPr>
            </w:pPr>
            <w:r>
              <w:rPr>
                <w:rFonts w:hint="eastAsia" w:ascii="Times New Roman" w:hAnsi="Arial"/>
                <w:color w:val="FF0000"/>
                <w:kern w:val="0"/>
                <w:sz w:val="24"/>
              </w:rPr>
              <w:t>现状实验室内使用的化学品为稀硫酸，氢氧化钠，氢氧化钙，硫酸铜，碳酸钙，碳酸钠，氯化钠等无机化学品，单种化学品年用量均为0.001t/a，仅产生少量酸碱废气，</w:t>
            </w:r>
            <w:r>
              <w:rPr>
                <w:rFonts w:hint="eastAsia" w:ascii="Times New Roman" w:hAnsi="Arial"/>
                <w:color w:val="FF0000"/>
                <w:kern w:val="0"/>
                <w:sz w:val="24"/>
                <w:lang w:val="en-US" w:eastAsia="zh-CN"/>
              </w:rPr>
              <w:t>不进行定量分析，</w:t>
            </w:r>
            <w:r>
              <w:rPr>
                <w:rFonts w:hint="eastAsia" w:ascii="Times New Roman" w:hAnsi="Arial"/>
                <w:color w:val="FF0000"/>
                <w:kern w:val="0"/>
                <w:sz w:val="24"/>
              </w:rPr>
              <w:t>实验操作在通风橱内进行，实验室废气无组织排放</w:t>
            </w:r>
            <w:r>
              <w:rPr>
                <w:rFonts w:hint="eastAsia" w:ascii="Times New Roman" w:hAnsi="Arial"/>
                <w:kern w:val="0"/>
                <w:sz w:val="24"/>
              </w:rPr>
              <w:t>。</w:t>
            </w:r>
          </w:p>
          <w:p>
            <w:pPr>
              <w:spacing w:line="360" w:lineRule="auto"/>
              <w:ind w:firstLine="480" w:firstLineChars="200"/>
              <w:rPr>
                <w:rFonts w:ascii="Times New Roman" w:hAnsi="Times New Roman"/>
                <w:kern w:val="0"/>
                <w:sz w:val="24"/>
              </w:rPr>
            </w:pPr>
            <w:r>
              <w:rPr>
                <w:rFonts w:ascii="Times New Roman" w:hAnsi="Arial"/>
                <w:kern w:val="0"/>
                <w:sz w:val="24"/>
              </w:rPr>
              <w:t>本项目</w:t>
            </w:r>
            <w:r>
              <w:rPr>
                <w:rFonts w:hint="eastAsia" w:ascii="Times New Roman" w:hAnsi="Arial"/>
                <w:kern w:val="0"/>
                <w:sz w:val="24"/>
              </w:rPr>
              <w:t>设有食堂</w:t>
            </w:r>
            <w:r>
              <w:rPr>
                <w:rFonts w:ascii="Times New Roman" w:hAnsi="Arial"/>
                <w:kern w:val="0"/>
                <w:sz w:val="24"/>
              </w:rPr>
              <w:t>，并设置油烟通道，油烟废气经机械排烟系统收集和油烟净化装置处理后，通过专用竖井引至建筑屋顶高空排放。油烟排放浓度均能够达到《饮食业油烟排放标准（试行）》（</w:t>
            </w:r>
            <w:r>
              <w:rPr>
                <w:rFonts w:ascii="Times New Roman" w:hAnsi="Times New Roman"/>
                <w:kern w:val="0"/>
                <w:sz w:val="24"/>
              </w:rPr>
              <w:t>GB 18483-2001</w:t>
            </w:r>
            <w:r>
              <w:rPr>
                <w:rFonts w:ascii="Times New Roman" w:hAnsi="Arial"/>
                <w:kern w:val="0"/>
                <w:sz w:val="24"/>
              </w:rPr>
              <w:t>）中的</w:t>
            </w:r>
            <w:r>
              <w:rPr>
                <w:rFonts w:ascii="Times New Roman" w:hAnsi="Times New Roman"/>
                <w:kern w:val="0"/>
                <w:sz w:val="24"/>
              </w:rPr>
              <w:t>2.0mg/m</w:t>
            </w:r>
            <w:r>
              <w:rPr>
                <w:rFonts w:ascii="Times New Roman" w:hAnsi="Times New Roman"/>
                <w:kern w:val="0"/>
                <w:sz w:val="24"/>
                <w:vertAlign w:val="superscript"/>
              </w:rPr>
              <w:t>3</w:t>
            </w:r>
            <w:r>
              <w:rPr>
                <w:rFonts w:ascii="Times New Roman" w:hAnsi="Arial"/>
                <w:kern w:val="0"/>
                <w:sz w:val="24"/>
              </w:rPr>
              <w:t>的标准限值。</w:t>
            </w:r>
          </w:p>
          <w:p>
            <w:pPr>
              <w:spacing w:line="360" w:lineRule="auto"/>
              <w:ind w:firstLine="480" w:firstLineChars="200"/>
              <w:rPr>
                <w:rFonts w:ascii="Times New Roman" w:hAnsi="Arial"/>
                <w:kern w:val="0"/>
                <w:sz w:val="24"/>
              </w:rPr>
            </w:pPr>
            <w:r>
              <w:rPr>
                <w:rFonts w:ascii="Times New Roman" w:hAnsi="Arial"/>
                <w:kern w:val="0"/>
                <w:sz w:val="24"/>
              </w:rPr>
              <w:t>燃气锅炉废气经引风机引至专用排风机，高空排放。项目燃气锅炉排放的</w:t>
            </w:r>
            <w:r>
              <w:rPr>
                <w:rFonts w:ascii="Times New Roman" w:hAnsi="Times New Roman"/>
                <w:kern w:val="0"/>
                <w:sz w:val="24"/>
              </w:rPr>
              <w:t>SO</w:t>
            </w:r>
            <w:r>
              <w:rPr>
                <w:rFonts w:ascii="Times New Roman" w:hAnsi="Times New Roman"/>
                <w:kern w:val="0"/>
                <w:sz w:val="24"/>
                <w:vertAlign w:val="subscript"/>
              </w:rPr>
              <w:t>2</w:t>
            </w:r>
            <w:r>
              <w:rPr>
                <w:rFonts w:ascii="Times New Roman" w:hAnsi="Arial"/>
                <w:kern w:val="0"/>
                <w:sz w:val="24"/>
              </w:rPr>
              <w:t>、</w:t>
            </w:r>
            <w:r>
              <w:rPr>
                <w:rFonts w:ascii="Times New Roman" w:hAnsi="Times New Roman"/>
                <w:kern w:val="0"/>
                <w:sz w:val="24"/>
              </w:rPr>
              <w:t>NOx</w:t>
            </w:r>
            <w:r>
              <w:rPr>
                <w:rFonts w:ascii="Times New Roman" w:hAnsi="Arial"/>
                <w:kern w:val="0"/>
                <w:sz w:val="24"/>
              </w:rPr>
              <w:t>、烟尘均符合《锅炉大气污染物排放标准》（</w:t>
            </w:r>
            <w:r>
              <w:rPr>
                <w:rFonts w:ascii="Times New Roman" w:hAnsi="Times New Roman"/>
                <w:kern w:val="0"/>
                <w:sz w:val="24"/>
              </w:rPr>
              <w:t>GB 13271-2014</w:t>
            </w:r>
            <w:r>
              <w:rPr>
                <w:rFonts w:ascii="Times New Roman" w:hAnsi="Arial"/>
                <w:kern w:val="0"/>
                <w:sz w:val="24"/>
              </w:rPr>
              <w:t>）中燃气锅炉特别排放限值，排风井高度</w:t>
            </w:r>
            <w:r>
              <w:rPr>
                <w:rFonts w:hint="eastAsia" w:ascii="Times New Roman" w:hAnsi="Arial"/>
                <w:kern w:val="0"/>
                <w:sz w:val="24"/>
              </w:rPr>
              <w:t>为15</w:t>
            </w:r>
            <w:r>
              <w:rPr>
                <w:rFonts w:ascii="Times New Roman" w:hAnsi="Arial"/>
                <w:kern w:val="0"/>
                <w:sz w:val="24"/>
              </w:rPr>
              <w:t>米，符合</w:t>
            </w:r>
            <w:r>
              <w:rPr>
                <w:rFonts w:ascii="Times New Roman" w:hAnsi="Times New Roman"/>
                <w:kern w:val="0"/>
                <w:sz w:val="24"/>
              </w:rPr>
              <w:t>GB 13271-2014</w:t>
            </w:r>
            <w:r>
              <w:rPr>
                <w:rFonts w:ascii="Times New Roman" w:hAnsi="Arial"/>
                <w:kern w:val="0"/>
                <w:sz w:val="24"/>
              </w:rPr>
              <w:t>中烟囱最低允许高度（</w:t>
            </w:r>
            <w:r>
              <w:rPr>
                <w:rFonts w:ascii="Times New Roman" w:hAnsi="Times New Roman"/>
                <w:kern w:val="0"/>
                <w:sz w:val="24"/>
              </w:rPr>
              <w:t>8m</w:t>
            </w:r>
            <w:r>
              <w:rPr>
                <w:rFonts w:ascii="Times New Roman" w:hAnsi="Arial"/>
                <w:kern w:val="0"/>
                <w:sz w:val="24"/>
              </w:rPr>
              <w:t>）要求。</w:t>
            </w:r>
          </w:p>
          <w:p>
            <w:pPr>
              <w:spacing w:line="360" w:lineRule="auto"/>
              <w:ind w:firstLine="480" w:firstLineChars="200"/>
              <w:rPr>
                <w:rFonts w:ascii="Times New Roman" w:hAnsi="Arial"/>
                <w:kern w:val="0"/>
                <w:sz w:val="24"/>
              </w:rPr>
            </w:pPr>
            <w:r>
              <w:rPr>
                <w:rFonts w:hint="eastAsia" w:ascii="Times New Roman" w:hAnsi="Arial"/>
                <w:kern w:val="0"/>
                <w:sz w:val="24"/>
              </w:rPr>
              <w:t>垃圾收集房内安放垃圾桶均为盖式，不设置垃圾压缩设备，生活垃圾采用袋装化收集，委托当地环卫部门每日定时清理，并采用密闭式垃圾运输车外运进行处置；垃圾房及垃圾桶定期冲洗，保持垃圾房及桶内外清洁、无渗滤液残留，清洗废水纳入污水系统。通过以上防治措施的实施，校园内垃圾停留时间较短，而且实现了袋装化收集、密闭式清运，从收集到装车转运的整个过程，垃圾基本不会外露，逸出的臭气量甚微，不会对周围环境及敏感点产生明显影响。</w:t>
            </w:r>
          </w:p>
          <w:p>
            <w:pPr>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3</w:t>
            </w:r>
            <w:r>
              <w:rPr>
                <w:rFonts w:ascii="Times New Roman" w:hAnsi="Arial"/>
                <w:kern w:val="0"/>
                <w:sz w:val="24"/>
              </w:rPr>
              <w:t>）噪声</w:t>
            </w:r>
          </w:p>
          <w:p>
            <w:pPr>
              <w:spacing w:line="360" w:lineRule="auto"/>
              <w:ind w:firstLine="480" w:firstLineChars="200"/>
              <w:rPr>
                <w:rFonts w:ascii="Times New Roman" w:hAnsi="Times New Roman"/>
                <w:kern w:val="0"/>
                <w:sz w:val="24"/>
              </w:rPr>
            </w:pPr>
            <w:r>
              <w:rPr>
                <w:rFonts w:ascii="Times New Roman" w:hAnsi="Arial"/>
                <w:kern w:val="0"/>
                <w:sz w:val="24"/>
              </w:rPr>
              <w:t>本项目噪声主要来自水泵、风机等设备运行噪声以及车库进出车辆噪声。经预测分析，通过采取相应的减振隔声吸声消音等降噪措施，项目营运期产生的噪声在场界等效声级均可达到《工业企业厂界环境噪声排放》（</w:t>
            </w:r>
            <w:r>
              <w:rPr>
                <w:rFonts w:ascii="Times New Roman" w:hAnsi="Times New Roman"/>
                <w:kern w:val="0"/>
                <w:sz w:val="24"/>
              </w:rPr>
              <w:t>GB 12348-2008</w:t>
            </w:r>
            <w:r>
              <w:rPr>
                <w:rFonts w:ascii="Times New Roman" w:hAnsi="Arial"/>
                <w:kern w:val="0"/>
                <w:sz w:val="24"/>
              </w:rPr>
              <w:t>）</w:t>
            </w:r>
            <w:r>
              <w:rPr>
                <w:rFonts w:ascii="Times New Roman" w:hAnsi="Times New Roman"/>
                <w:kern w:val="0"/>
                <w:sz w:val="24"/>
              </w:rPr>
              <w:t>2</w:t>
            </w:r>
            <w:r>
              <w:rPr>
                <w:rFonts w:ascii="Times New Roman" w:hAnsi="Arial"/>
                <w:kern w:val="0"/>
                <w:sz w:val="24"/>
              </w:rPr>
              <w:t>类标准，基本不会改变区域现状声环境质量。</w:t>
            </w:r>
          </w:p>
          <w:p>
            <w:pPr>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4</w:t>
            </w:r>
            <w:r>
              <w:rPr>
                <w:rFonts w:ascii="Times New Roman" w:hAnsi="Arial"/>
                <w:kern w:val="0"/>
                <w:sz w:val="24"/>
              </w:rPr>
              <w:t>）固体废物影响分析</w:t>
            </w:r>
          </w:p>
          <w:p>
            <w:pPr>
              <w:spacing w:line="360" w:lineRule="auto"/>
              <w:ind w:firstLine="480" w:firstLineChars="200"/>
              <w:rPr>
                <w:rFonts w:ascii="Times New Roman" w:hAnsi="Times New Roman"/>
                <w:kern w:val="0"/>
                <w:sz w:val="24"/>
              </w:rPr>
            </w:pPr>
            <w:r>
              <w:rPr>
                <w:rFonts w:ascii="Times New Roman" w:hAnsi="Arial"/>
                <w:kern w:val="0"/>
                <w:sz w:val="24"/>
              </w:rPr>
              <w:t>本项目产生的固体废物均能得到妥善处置，可避免二次污染，因此项目固废对周边环境影响不大。</w:t>
            </w:r>
          </w:p>
          <w:p>
            <w:pPr>
              <w:spacing w:line="360" w:lineRule="auto"/>
              <w:ind w:firstLine="480" w:firstLineChars="200"/>
              <w:rPr>
                <w:rFonts w:ascii="Times New Roman" w:hAnsi="Times New Roman"/>
                <w:kern w:val="0"/>
                <w:sz w:val="24"/>
              </w:rPr>
            </w:pPr>
            <w:r>
              <w:rPr>
                <w:rFonts w:ascii="Times New Roman" w:hAnsi="Times New Roman"/>
                <w:kern w:val="0"/>
                <w:sz w:val="24"/>
              </w:rPr>
              <w:t>4.1.2</w:t>
            </w:r>
            <w:r>
              <w:rPr>
                <w:rFonts w:ascii="Times New Roman" w:hAnsi="Arial"/>
                <w:kern w:val="0"/>
                <w:sz w:val="24"/>
              </w:rPr>
              <w:t>环评总结论</w:t>
            </w:r>
          </w:p>
          <w:p>
            <w:pPr>
              <w:spacing w:line="360" w:lineRule="auto"/>
              <w:ind w:firstLine="480" w:firstLineChars="200"/>
              <w:rPr>
                <w:rFonts w:ascii="Times New Roman" w:hAnsi="Times New Roman" w:cstheme="minorBidi"/>
                <w:kern w:val="0"/>
                <w:sz w:val="24"/>
              </w:rPr>
            </w:pPr>
            <w:r>
              <w:rPr>
                <w:rFonts w:ascii="Times New Roman" w:hAnsi="Arial"/>
                <w:kern w:val="0"/>
                <w:sz w:val="24"/>
              </w:rPr>
              <w:t>本项目符合杭州市</w:t>
            </w:r>
            <w:r>
              <w:rPr>
                <w:rFonts w:hint="eastAsia" w:ascii="Times New Roman" w:hAnsi="Arial"/>
                <w:kern w:val="0"/>
                <w:sz w:val="24"/>
              </w:rPr>
              <w:t>临平</w:t>
            </w:r>
            <w:r>
              <w:rPr>
                <w:rFonts w:ascii="Times New Roman" w:hAnsi="Arial"/>
                <w:kern w:val="0"/>
                <w:sz w:val="24"/>
              </w:rPr>
              <w:t>区生态环境功能区划要求；排放的污染物符合国家、省规定的污染物排放标准和主要污染物排放总量控制指标；造成的环境影响符合项目所在地环境功能区划确定的环境质量要求。若项目在运营过程中，严格执行国家有关环保法律、环境标准，认真执行建设项目</w:t>
            </w:r>
            <w:r>
              <w:rPr>
                <w:rFonts w:ascii="Times New Roman" w:hAnsi="Times New Roman"/>
                <w:kern w:val="0"/>
                <w:sz w:val="24"/>
              </w:rPr>
              <w:t>“</w:t>
            </w:r>
            <w:r>
              <w:rPr>
                <w:rFonts w:ascii="Times New Roman" w:hAnsi="Arial"/>
                <w:kern w:val="0"/>
                <w:sz w:val="24"/>
              </w:rPr>
              <w:t>三同时</w:t>
            </w:r>
            <w:r>
              <w:rPr>
                <w:rFonts w:ascii="Times New Roman" w:hAnsi="Times New Roman"/>
                <w:kern w:val="0"/>
                <w:sz w:val="24"/>
              </w:rPr>
              <w:t>”</w:t>
            </w:r>
            <w:r>
              <w:rPr>
                <w:rFonts w:ascii="Times New Roman" w:hAnsi="Arial"/>
                <w:kern w:val="0"/>
                <w:sz w:val="24"/>
              </w:rPr>
              <w:t>制度，全面落实本环评提出的各项污染防治对策，在此前提下，从环保角度论证，本项目的建设是可行的。</w:t>
            </w:r>
          </w:p>
          <w:p>
            <w:pPr>
              <w:spacing w:line="360" w:lineRule="auto"/>
              <w:ind w:firstLine="482" w:firstLineChars="200"/>
              <w:rPr>
                <w:rFonts w:ascii="Times New Roman" w:hAnsi="Times New Roman"/>
                <w:b/>
                <w:bCs/>
                <w:kern w:val="0"/>
                <w:sz w:val="24"/>
              </w:rPr>
            </w:pPr>
            <w:r>
              <w:rPr>
                <w:rFonts w:ascii="Times New Roman" w:hAnsi="Times New Roman"/>
                <w:b/>
                <w:bCs/>
                <w:kern w:val="0"/>
                <w:sz w:val="24"/>
              </w:rPr>
              <w:t>4.2</w:t>
            </w:r>
            <w:r>
              <w:rPr>
                <w:rFonts w:ascii="Times New Roman" w:hAnsi="Arial"/>
                <w:b/>
                <w:bCs/>
                <w:kern w:val="0"/>
                <w:sz w:val="24"/>
              </w:rPr>
              <w:t>审批部门审批决定</w:t>
            </w:r>
          </w:p>
          <w:p>
            <w:pPr>
              <w:spacing w:line="360" w:lineRule="auto"/>
              <w:ind w:firstLine="480" w:firstLineChars="200"/>
              <w:rPr>
                <w:rFonts w:ascii="Times New Roman" w:hAnsi="Times New Roman"/>
                <w:kern w:val="0"/>
                <w:sz w:val="24"/>
              </w:rPr>
            </w:pPr>
            <w:r>
              <w:rPr>
                <w:rFonts w:ascii="Times New Roman" w:hAnsi="Arial"/>
                <w:kern w:val="0"/>
                <w:sz w:val="24"/>
              </w:rPr>
              <w:t>本项目于</w:t>
            </w:r>
            <w:r>
              <w:rPr>
                <w:rFonts w:ascii="Times New Roman" w:hAnsi="Times New Roman"/>
                <w:kern w:val="0"/>
                <w:sz w:val="24"/>
              </w:rPr>
              <w:t>201</w:t>
            </w:r>
            <w:r>
              <w:rPr>
                <w:rFonts w:hint="eastAsia" w:ascii="Times New Roman" w:hAnsi="Times New Roman"/>
                <w:kern w:val="0"/>
                <w:sz w:val="24"/>
              </w:rPr>
              <w:t>8</w:t>
            </w:r>
            <w:r>
              <w:rPr>
                <w:rFonts w:ascii="Times New Roman" w:hAnsi="Arial"/>
                <w:kern w:val="0"/>
                <w:sz w:val="24"/>
              </w:rPr>
              <w:t>年</w:t>
            </w:r>
            <w:r>
              <w:rPr>
                <w:rFonts w:hint="eastAsia" w:ascii="Times New Roman" w:hAnsi="Times New Roman"/>
                <w:kern w:val="0"/>
                <w:sz w:val="24"/>
              </w:rPr>
              <w:t>7</w:t>
            </w:r>
            <w:r>
              <w:rPr>
                <w:rFonts w:ascii="Times New Roman" w:hAnsi="Arial"/>
                <w:kern w:val="0"/>
                <w:sz w:val="24"/>
              </w:rPr>
              <w:t>月</w:t>
            </w:r>
            <w:r>
              <w:rPr>
                <w:rFonts w:ascii="Times New Roman" w:hAnsi="Times New Roman"/>
                <w:kern w:val="0"/>
                <w:sz w:val="24"/>
              </w:rPr>
              <w:t>1</w:t>
            </w:r>
            <w:r>
              <w:rPr>
                <w:rFonts w:hint="eastAsia" w:ascii="Times New Roman" w:hAnsi="Times New Roman"/>
                <w:kern w:val="0"/>
                <w:sz w:val="24"/>
              </w:rPr>
              <w:t>8</w:t>
            </w:r>
            <w:r>
              <w:rPr>
                <w:rFonts w:ascii="Times New Roman" w:hAnsi="Arial"/>
                <w:kern w:val="0"/>
                <w:sz w:val="24"/>
              </w:rPr>
              <w:t>日通过</w:t>
            </w:r>
            <w:r>
              <w:rPr>
                <w:rFonts w:ascii="Times New Roman" w:hAnsi="Arial"/>
                <w:color w:val="FF0000"/>
                <w:kern w:val="0"/>
                <w:sz w:val="24"/>
              </w:rPr>
              <w:t>原杭州市余杭区环保局</w:t>
            </w:r>
            <w:r>
              <w:rPr>
                <w:rFonts w:ascii="Times New Roman" w:hAnsi="Arial"/>
                <w:kern w:val="0"/>
                <w:sz w:val="24"/>
              </w:rPr>
              <w:t>审批，审批文号：环评批复</w:t>
            </w:r>
            <w:r>
              <w:rPr>
                <w:rFonts w:hint="eastAsia" w:ascii="Times New Roman" w:hAnsi="Arial"/>
                <w:kern w:val="0"/>
                <w:sz w:val="24"/>
              </w:rPr>
              <w:t>〔2018〕256</w:t>
            </w:r>
            <w:r>
              <w:rPr>
                <w:rFonts w:ascii="Times New Roman" w:hAnsi="Arial"/>
                <w:kern w:val="0"/>
                <w:sz w:val="24"/>
              </w:rPr>
              <w:t>号，环境影响报告表评价审批意见主要内容如下：</w:t>
            </w:r>
          </w:p>
          <w:p>
            <w:pPr>
              <w:spacing w:line="360" w:lineRule="auto"/>
              <w:ind w:firstLine="480" w:firstLineChars="200"/>
              <w:rPr>
                <w:rFonts w:ascii="Times New Roman" w:hAnsi="Arial"/>
                <w:kern w:val="0"/>
                <w:sz w:val="24"/>
              </w:rPr>
            </w:pPr>
            <w:r>
              <w:rPr>
                <w:rFonts w:hint="eastAsia" w:ascii="Times New Roman" w:hAnsi="Arial"/>
                <w:kern w:val="0"/>
                <w:sz w:val="24"/>
              </w:rPr>
              <w:t>一、根据煤科集团杭州环保研究院有限公司编制的《杭州市余杭区教育资产营运管理中心余杭区星桥九年一贯制学校项目环境影响报告表》、</w:t>
            </w:r>
            <w:r>
              <w:rPr>
                <w:rFonts w:hint="eastAsia" w:ascii="Times New Roman" w:hAnsi="Arial"/>
                <w:color w:val="FF0000"/>
                <w:kern w:val="0"/>
                <w:sz w:val="24"/>
              </w:rPr>
              <w:t>原余杭区发改局</w:t>
            </w:r>
            <w:r>
              <w:rPr>
                <w:rFonts w:hint="eastAsia" w:ascii="Times New Roman" w:hAnsi="Arial"/>
                <w:kern w:val="0"/>
                <w:sz w:val="24"/>
              </w:rPr>
              <w:t>项目建议书的批复(余发改中心〔2017]424号)等材料，在项目符合环境功能区划、产业政策、产业发展规划、选址符合城市总体规划、土地利用总体规划等前提下，同意环评报告表结论。</w:t>
            </w:r>
          </w:p>
          <w:p>
            <w:pPr>
              <w:spacing w:line="360" w:lineRule="auto"/>
              <w:ind w:firstLine="480" w:firstLineChars="200"/>
              <w:rPr>
                <w:rFonts w:ascii="Times New Roman" w:hAnsi="Arial"/>
                <w:kern w:val="0"/>
                <w:sz w:val="24"/>
              </w:rPr>
            </w:pPr>
            <w:r>
              <w:rPr>
                <w:rFonts w:hint="eastAsia" w:ascii="Times New Roman" w:hAnsi="Arial"/>
                <w:kern w:val="0"/>
                <w:sz w:val="24"/>
              </w:rPr>
              <w:t>项目的环境影响评价文件经批准后，若项目性质、规模、地点、采取的防治污染、防止生态破坏的措施和功能布局等发生重大变化，应依法重新报批环评文件。自批准之日起满5年方开工建设，其环评文件应当报我局重新审核。</w:t>
            </w:r>
          </w:p>
          <w:p>
            <w:pPr>
              <w:spacing w:line="360" w:lineRule="auto"/>
              <w:ind w:firstLine="480" w:firstLineChars="200"/>
              <w:rPr>
                <w:rFonts w:ascii="Times New Roman" w:hAnsi="Arial"/>
                <w:kern w:val="0"/>
                <w:sz w:val="24"/>
              </w:rPr>
            </w:pPr>
            <w:r>
              <w:rPr>
                <w:rFonts w:hint="eastAsia" w:ascii="Times New Roman" w:hAnsi="Arial"/>
                <w:kern w:val="0"/>
                <w:sz w:val="24"/>
              </w:rPr>
              <w:t>二、该项目属新建项目，位于杭州市余杭区星桥街道，东南至临丁路、西南至天华路、西北至天韵路、东北至星乐小区二区。该项目用地面积67588平方米，总建筑面积65372.67平方米，其中地上建筑面积49369.95平方米、地下建筑面积16002.72平方米(具体以规划批复面积为准)。定位为九年一贯制学校，设小学42个班级，初中21个班级。</w:t>
            </w:r>
          </w:p>
          <w:p>
            <w:pPr>
              <w:spacing w:line="360" w:lineRule="auto"/>
              <w:ind w:firstLine="480" w:firstLineChars="200"/>
              <w:rPr>
                <w:rFonts w:ascii="Times New Roman" w:hAnsi="Arial"/>
                <w:kern w:val="0"/>
                <w:sz w:val="24"/>
              </w:rPr>
            </w:pPr>
            <w:r>
              <w:rPr>
                <w:rFonts w:hint="eastAsia" w:ascii="Times New Roman" w:hAnsi="Arial"/>
                <w:kern w:val="0"/>
                <w:sz w:val="24"/>
              </w:rPr>
              <w:t>三、加强施工期管理，文明施工，防止污水、粉尘、噪声等对周围环境的影响。施工期产生的生活污水须经收集预处理后纳入市政污水管网排放。施工场地周围设置临时泥浆沉淀池，泥浆水经沉淀池处理后回用，严禁废水直接排入外环境。施工期间场地周围应建临时围墙，选用低噪声施工设备，不得使用冲击式打桩机等产生高噪声的设备，禁止夜间施工，因特殊要求需夜间施工的，须报环保部门审批，并且告示附近居民，使施工噪声达到《建筑施工场界环境噪声排放标准》(GB12523-2011)中的标准和规定。</w:t>
            </w:r>
          </w:p>
          <w:p>
            <w:pPr>
              <w:spacing w:line="360" w:lineRule="auto"/>
              <w:ind w:firstLine="480" w:firstLineChars="200"/>
              <w:rPr>
                <w:rFonts w:ascii="Times New Roman" w:hAnsi="Arial"/>
                <w:kern w:val="0"/>
                <w:sz w:val="24"/>
              </w:rPr>
            </w:pPr>
            <w:r>
              <w:rPr>
                <w:rFonts w:hint="eastAsia" w:ascii="Times New Roman" w:hAnsi="Arial"/>
                <w:kern w:val="0"/>
                <w:sz w:val="24"/>
              </w:rPr>
              <w:t>四、搞好项目建设中的土石方平衡和防止水土流失工作，落实生态补偿与水土保持措施，保留原有的一些有价值的绿地，对填土用的开挖地，要做好生态恢复等工作，项目完毕须及时复绿。</w:t>
            </w:r>
          </w:p>
          <w:p>
            <w:pPr>
              <w:spacing w:line="360" w:lineRule="auto"/>
              <w:ind w:firstLine="480" w:firstLineChars="200"/>
              <w:rPr>
                <w:rFonts w:ascii="Times New Roman" w:hAnsi="Arial"/>
                <w:kern w:val="0"/>
                <w:sz w:val="24"/>
              </w:rPr>
            </w:pPr>
            <w:r>
              <w:rPr>
                <w:rFonts w:hint="eastAsia" w:ascii="Times New Roman" w:hAnsi="Arial"/>
                <w:kern w:val="0"/>
                <w:sz w:val="24"/>
              </w:rPr>
              <w:t>五、项目建成运营后，应严格执行有关环境质量标准和污染物排放标准，认真、全面落实报告表提出的各项环保对策措施和要求，确保污染物达标排放和满足总量控制要求，重点做好以下工作：</w:t>
            </w:r>
          </w:p>
          <w:p>
            <w:pPr>
              <w:spacing w:line="360" w:lineRule="auto"/>
              <w:ind w:firstLine="480" w:firstLineChars="200"/>
              <w:rPr>
                <w:rFonts w:ascii="Times New Roman" w:hAnsi="Times New Roman"/>
                <w:kern w:val="0"/>
                <w:sz w:val="24"/>
              </w:rPr>
            </w:pPr>
            <w:r>
              <w:rPr>
                <w:rFonts w:hint="eastAsia" w:ascii="Times New Roman" w:hAnsi="Times New Roman"/>
                <w:kern w:val="0"/>
                <w:sz w:val="24"/>
              </w:rPr>
              <w:t>（一）</w:t>
            </w:r>
            <w:r>
              <w:rPr>
                <w:rFonts w:ascii="Times New Roman" w:hAnsi="Times New Roman"/>
                <w:kern w:val="0"/>
                <w:sz w:val="24"/>
              </w:rPr>
              <w:t>加强废水污染防治。游泳池用水循环使用，当不能满足回用要求时与实验废水、生活污水须经收集处理达《污水综合排放标准》（GB 8978-1996）中三级标准后排入污水管网送污水处理厂处理。</w:t>
            </w:r>
          </w:p>
          <w:p>
            <w:pPr>
              <w:spacing w:line="360" w:lineRule="auto"/>
              <w:ind w:firstLine="480" w:firstLineChars="200"/>
              <w:rPr>
                <w:rFonts w:ascii="Times New Roman" w:hAnsi="Times New Roman"/>
                <w:kern w:val="0"/>
                <w:sz w:val="24"/>
              </w:rPr>
            </w:pPr>
            <w:r>
              <w:rPr>
                <w:rFonts w:hint="eastAsia" w:ascii="Times New Roman" w:hAnsi="Times New Roman"/>
                <w:kern w:val="0"/>
                <w:sz w:val="24"/>
              </w:rPr>
              <w:t>（二）</w:t>
            </w:r>
            <w:r>
              <w:rPr>
                <w:rFonts w:ascii="Times New Roman" w:hAnsi="Times New Roman"/>
                <w:kern w:val="0"/>
                <w:sz w:val="24"/>
              </w:rPr>
              <w:t>加强废气污染防治。做好地下车库汽车尾气、实验室废气、燃气锅炉废气及食堂油烟废气的防治工作，锅炉废气须经收集处理达到《锅炉大气污染物排放标准》（GB13271-2014）表3的燃气锅炉特别排放限值后排放，食堂油烟废气须经收集处理达到《饮食业油烟排放标准》（GB18483-2001）相应排放限值后排放</w:t>
            </w:r>
            <w:r>
              <w:rPr>
                <w:rFonts w:hint="eastAsia" w:ascii="Times New Roman" w:hAnsi="Times New Roman"/>
                <w:kern w:val="0"/>
                <w:sz w:val="24"/>
              </w:rPr>
              <w:t>。</w:t>
            </w:r>
          </w:p>
          <w:p>
            <w:pPr>
              <w:spacing w:line="360" w:lineRule="auto"/>
              <w:ind w:firstLine="480" w:firstLineChars="200"/>
              <w:rPr>
                <w:rFonts w:ascii="Times New Roman" w:hAnsi="Times New Roman"/>
                <w:kern w:val="0"/>
                <w:sz w:val="24"/>
              </w:rPr>
            </w:pPr>
            <w:r>
              <w:rPr>
                <w:rFonts w:hint="eastAsia" w:ascii="Times New Roman" w:hAnsi="Times New Roman"/>
                <w:kern w:val="0"/>
                <w:sz w:val="24"/>
              </w:rPr>
              <w:t>（三）</w:t>
            </w:r>
            <w:r>
              <w:rPr>
                <w:rFonts w:ascii="Times New Roman" w:hAnsi="Times New Roman"/>
                <w:kern w:val="0"/>
                <w:sz w:val="24"/>
              </w:rPr>
              <w:t>项目应按环评要求落实各项噪声污染防治措施，对地下车库出入口、泵房、风机房等动力设施采取相应隔声、降噪措施，使项目噪声达到《工业企业厂界环境噪声排放标准》（GB 12348-2008）中相应的规定和标准。</w:t>
            </w:r>
          </w:p>
          <w:p>
            <w:pPr>
              <w:spacing w:line="360" w:lineRule="auto"/>
              <w:ind w:firstLine="480" w:firstLineChars="200"/>
              <w:rPr>
                <w:rFonts w:ascii="Times New Roman" w:hAnsi="Times New Roman"/>
                <w:kern w:val="0"/>
                <w:sz w:val="24"/>
              </w:rPr>
            </w:pPr>
            <w:r>
              <w:rPr>
                <w:rFonts w:hint="eastAsia" w:ascii="Times New Roman" w:hAnsi="Times New Roman"/>
                <w:kern w:val="0"/>
                <w:sz w:val="24"/>
              </w:rPr>
              <w:t>（四）</w:t>
            </w:r>
            <w:r>
              <w:rPr>
                <w:rFonts w:ascii="Times New Roman" w:hAnsi="Times New Roman"/>
                <w:kern w:val="0"/>
                <w:sz w:val="24"/>
              </w:rPr>
              <w:t>加强固废污染防治。固体废弃物应按照“资源化、减量化、无害化”处置原则，尽可能实现资源的综合利用。实验室废物经收集后委托</w:t>
            </w:r>
            <w:r>
              <w:rPr>
                <w:rFonts w:hint="eastAsia" w:ascii="Times New Roman" w:hAnsi="Arial"/>
                <w:color w:val="FF0000"/>
                <w:kern w:val="0"/>
                <w:sz w:val="24"/>
                <w:lang w:val="en-US" w:eastAsia="zh-CN"/>
              </w:rPr>
              <w:t>杭州立佳环境服务有限公司</w:t>
            </w:r>
            <w:r>
              <w:rPr>
                <w:rFonts w:ascii="Times New Roman" w:hAnsi="Times New Roman"/>
                <w:kern w:val="0"/>
                <w:sz w:val="24"/>
              </w:rPr>
              <w:t>处理；危废暂存场所应按相关规范进行设置，做好危险废物的入库、存放、出库记录，严格执行转移联单制度，并设置危险废物识别标志，做好防雨、防渗、防漏等工作，杜绝对环境造成二次污染；设置一定数量的垃圾收集点，垃圾经分类收集后及时清运，集中处理。</w:t>
            </w:r>
          </w:p>
          <w:p>
            <w:pPr>
              <w:spacing w:line="360" w:lineRule="auto"/>
              <w:ind w:firstLine="480" w:firstLineChars="200"/>
              <w:rPr>
                <w:rFonts w:ascii="Times New Roman" w:hAnsi="Times New Roman"/>
                <w:kern w:val="0"/>
                <w:sz w:val="24"/>
              </w:rPr>
            </w:pPr>
            <w:r>
              <w:rPr>
                <w:rFonts w:hint="eastAsia" w:ascii="Times New Roman" w:hAnsi="Times New Roman"/>
                <w:kern w:val="0"/>
                <w:sz w:val="24"/>
              </w:rPr>
              <w:t>六、以上意见和环评报告表中提出的污染防治措施，你单位应在项目设计、建设和管理中认真予以落实。项目竣工后，须按规定进行建设项目环保设施竣工验收，经验收合格后方可正式投入运营。</w:t>
            </w:r>
          </w:p>
          <w:p>
            <w:pPr>
              <w:spacing w:line="360" w:lineRule="auto"/>
              <w:ind w:firstLine="480" w:firstLineChars="200"/>
              <w:rPr>
                <w:rFonts w:ascii="Times New Roman" w:hAnsi="Times New Roman"/>
                <w:kern w:val="0"/>
                <w:sz w:val="24"/>
              </w:rPr>
            </w:pPr>
            <w:r>
              <w:rPr>
                <w:rFonts w:ascii="Times New Roman" w:hAnsi="Arial"/>
                <w:kern w:val="0"/>
                <w:sz w:val="24"/>
              </w:rPr>
              <w:t>详见附件</w:t>
            </w:r>
            <w:r>
              <w:rPr>
                <w:rFonts w:ascii="Times New Roman" w:hAnsi="Times New Roman"/>
                <w:kern w:val="0"/>
                <w:sz w:val="24"/>
              </w:rPr>
              <w:t>1</w:t>
            </w:r>
            <w:r>
              <w:rPr>
                <w:rFonts w:ascii="Times New Roman" w:hAnsi="Arial"/>
                <w:kern w:val="0"/>
                <w:sz w:val="24"/>
              </w:rPr>
              <w:t>。</w:t>
            </w:r>
          </w:p>
          <w:p>
            <w:pPr>
              <w:pStyle w:val="14"/>
              <w:ind w:left="480" w:leftChars="0"/>
            </w:pPr>
          </w:p>
        </w:tc>
      </w:tr>
    </w:tbl>
    <w:p>
      <w:pPr>
        <w:sectPr>
          <w:pgSz w:w="11906" w:h="16838"/>
          <w:pgMar w:top="1440" w:right="1800" w:bottom="1440" w:left="1800" w:header="851" w:footer="992" w:gutter="0"/>
          <w:cols w:space="425" w:num="1"/>
          <w:docGrid w:type="lines" w:linePitch="312" w:charSpace="0"/>
        </w:sectPr>
      </w:pPr>
    </w:p>
    <w:p>
      <w:pPr>
        <w:pStyle w:val="3"/>
        <w:rPr>
          <w:rFonts w:ascii="Arial" w:hAnsi="Arial" w:cs="Arial"/>
        </w:rPr>
      </w:pPr>
      <w:bookmarkStart w:id="7" w:name="_Toc8472"/>
      <w:r>
        <w:rPr>
          <w:rFonts w:hint="eastAsia" w:ascii="Arial" w:hAnsi="Arial" w:cs="Arial"/>
        </w:rPr>
        <w:t>表五验收监测质量保证及质量控制</w:t>
      </w:r>
      <w:bookmarkEnd w:id="7"/>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Borders>
              <w:top w:val="single" w:color="auto" w:sz="4" w:space="0"/>
              <w:left w:val="single" w:color="auto" w:sz="4" w:space="0"/>
              <w:bottom w:val="single" w:color="auto" w:sz="4" w:space="0"/>
              <w:right w:val="single" w:color="auto" w:sz="4" w:space="0"/>
            </w:tcBorders>
          </w:tcPr>
          <w:p>
            <w:pPr>
              <w:spacing w:line="360" w:lineRule="auto"/>
              <w:ind w:firstLine="482" w:firstLineChars="200"/>
              <w:rPr>
                <w:rFonts w:ascii="Times New Roman" w:hAnsi="Times New Roman"/>
                <w:b/>
                <w:bCs/>
                <w:kern w:val="0"/>
                <w:sz w:val="24"/>
              </w:rPr>
            </w:pPr>
            <w:bookmarkStart w:id="8" w:name="_Toc12330"/>
            <w:bookmarkStart w:id="9" w:name="_Toc24893"/>
            <w:r>
              <w:rPr>
                <w:rFonts w:ascii="Times New Roman" w:hAnsi="Times New Roman"/>
                <w:b/>
                <w:bCs/>
                <w:kern w:val="0"/>
                <w:sz w:val="24"/>
              </w:rPr>
              <w:t>5.1</w:t>
            </w:r>
            <w:r>
              <w:rPr>
                <w:rFonts w:ascii="Times New Roman" w:hAnsi="Arial"/>
                <w:b/>
                <w:bCs/>
                <w:kern w:val="0"/>
                <w:sz w:val="24"/>
              </w:rPr>
              <w:t>监测分析方法</w:t>
            </w:r>
            <w:bookmarkEnd w:id="8"/>
            <w:bookmarkEnd w:id="9"/>
          </w:p>
          <w:p>
            <w:pPr>
              <w:spacing w:line="360" w:lineRule="auto"/>
              <w:ind w:firstLine="482" w:firstLineChars="200"/>
              <w:rPr>
                <w:rFonts w:ascii="Times New Roman" w:hAnsi="Arial"/>
                <w:b/>
                <w:bCs/>
                <w:kern w:val="0"/>
                <w:sz w:val="24"/>
              </w:rPr>
            </w:pPr>
            <w:bookmarkStart w:id="10" w:name="_Toc18959"/>
            <w:r>
              <w:rPr>
                <w:rFonts w:ascii="Times New Roman" w:hAnsi="Times New Roman"/>
                <w:b/>
                <w:bCs/>
                <w:kern w:val="0"/>
                <w:sz w:val="24"/>
              </w:rPr>
              <w:t>5.1.1</w:t>
            </w:r>
            <w:r>
              <w:rPr>
                <w:rFonts w:ascii="Times New Roman" w:hAnsi="Arial"/>
                <w:b/>
                <w:bCs/>
                <w:kern w:val="0"/>
                <w:sz w:val="24"/>
              </w:rPr>
              <w:t>废水</w:t>
            </w:r>
            <w:bookmarkEnd w:id="10"/>
          </w:p>
          <w:p>
            <w:pPr>
              <w:spacing w:line="360" w:lineRule="auto"/>
              <w:ind w:firstLine="480" w:firstLineChars="200"/>
              <w:rPr>
                <w:rFonts w:ascii="Times New Roman" w:hAnsi="Times New Roman"/>
                <w:kern w:val="0"/>
                <w:sz w:val="24"/>
              </w:rPr>
            </w:pPr>
            <w:r>
              <w:rPr>
                <w:rFonts w:ascii="Times New Roman" w:hAnsi="Arial"/>
                <w:kern w:val="0"/>
                <w:sz w:val="24"/>
              </w:rPr>
              <w:t>本项目</w:t>
            </w:r>
            <w:r>
              <w:rPr>
                <w:rFonts w:hint="eastAsia" w:ascii="Times New Roman" w:hAnsi="Arial"/>
                <w:kern w:val="0"/>
                <w:sz w:val="24"/>
              </w:rPr>
              <w:t>废水</w:t>
            </w:r>
            <w:r>
              <w:rPr>
                <w:rFonts w:ascii="Times New Roman" w:hAnsi="Arial"/>
                <w:kern w:val="0"/>
                <w:sz w:val="24"/>
              </w:rPr>
              <w:t>监测因子分析方法见表</w:t>
            </w:r>
            <w:r>
              <w:rPr>
                <w:rFonts w:ascii="Times New Roman" w:hAnsi="Times New Roman"/>
                <w:kern w:val="0"/>
                <w:sz w:val="24"/>
              </w:rPr>
              <w:t>5-1</w:t>
            </w:r>
            <w:r>
              <w:rPr>
                <w:rFonts w:ascii="Times New Roman" w:hAnsi="Arial"/>
                <w:kern w:val="0"/>
                <w:sz w:val="24"/>
              </w:rPr>
              <w:t>。</w:t>
            </w:r>
          </w:p>
          <w:p>
            <w:pPr>
              <w:pStyle w:val="13"/>
              <w:spacing w:beforeLines="20" w:line="288" w:lineRule="auto"/>
              <w:jc w:val="center"/>
              <w:rPr>
                <w:rFonts w:ascii="Times New Roman" w:hAnsi="Arial"/>
                <w:b/>
                <w:bCs/>
                <w:kern w:val="0"/>
                <w:sz w:val="20"/>
                <w:szCs w:val="21"/>
              </w:rPr>
            </w:pPr>
            <w:r>
              <w:rPr>
                <w:rFonts w:ascii="Times New Roman" w:hAnsi="Arial"/>
                <w:b/>
                <w:bCs/>
                <w:kern w:val="0"/>
                <w:sz w:val="20"/>
                <w:szCs w:val="21"/>
              </w:rPr>
              <w:t>表</w:t>
            </w:r>
            <w:r>
              <w:rPr>
                <w:rFonts w:ascii="Times New Roman" w:hAnsi="Times New Roman"/>
                <w:b/>
                <w:bCs/>
                <w:kern w:val="0"/>
                <w:sz w:val="20"/>
                <w:szCs w:val="21"/>
              </w:rPr>
              <w:t xml:space="preserve">5-1 </w:t>
            </w:r>
            <w:r>
              <w:rPr>
                <w:rFonts w:ascii="Times New Roman" w:hAnsi="Arial"/>
                <w:b/>
                <w:bCs/>
                <w:kern w:val="0"/>
                <w:sz w:val="20"/>
                <w:szCs w:val="21"/>
              </w:rPr>
              <w:t>废水监测因子分析方法及检出限</w:t>
            </w:r>
          </w:p>
          <w:tbl>
            <w:tblPr>
              <w:tblStyle w:val="33"/>
              <w:tblW w:w="8186"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791"/>
              <w:gridCol w:w="709"/>
              <w:gridCol w:w="1599"/>
              <w:gridCol w:w="2190"/>
              <w:gridCol w:w="289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791" w:type="dxa"/>
                  <w:tcBorders>
                    <w:top w:val="single" w:color="auto" w:sz="4" w:space="0"/>
                    <w:left w:val="single" w:color="auto" w:sz="4" w:space="0"/>
                    <w:bottom w:val="single" w:color="auto" w:sz="2" w:space="0"/>
                    <w:right w:val="single" w:color="auto" w:sz="2" w:space="0"/>
                  </w:tcBorders>
                  <w:vAlign w:val="center"/>
                </w:tcPr>
                <w:p>
                  <w:pPr>
                    <w:jc w:val="center"/>
                    <w:rPr>
                      <w:rFonts w:ascii="Times New Roman" w:hAnsi="Times New Roman"/>
                      <w:bCs/>
                      <w:color w:val="000000" w:themeColor="text1"/>
                      <w:szCs w:val="21"/>
                      <w:lang w:val="zh-CN"/>
                    </w:rPr>
                  </w:pPr>
                  <w:r>
                    <w:rPr>
                      <w:rFonts w:ascii="Times New Roman" w:hAnsi="Times New Roman"/>
                      <w:bCs/>
                      <w:color w:val="000000" w:themeColor="text1"/>
                      <w:szCs w:val="21"/>
                      <w:lang w:val="zh-CN"/>
                    </w:rPr>
                    <w:t>序号</w:t>
                  </w:r>
                </w:p>
              </w:tc>
              <w:tc>
                <w:tcPr>
                  <w:tcW w:w="709" w:type="dxa"/>
                  <w:tcBorders>
                    <w:top w:val="single" w:color="auto" w:sz="4" w:space="0"/>
                    <w:left w:val="single" w:color="auto" w:sz="2" w:space="0"/>
                    <w:bottom w:val="single" w:color="auto" w:sz="2" w:space="0"/>
                    <w:right w:val="single" w:color="auto" w:sz="2" w:space="0"/>
                  </w:tcBorders>
                  <w:vAlign w:val="center"/>
                </w:tcPr>
                <w:p>
                  <w:pPr>
                    <w:jc w:val="center"/>
                    <w:rPr>
                      <w:rFonts w:ascii="Times New Roman" w:hAnsi="Times New Roman"/>
                      <w:bCs/>
                      <w:color w:val="000000" w:themeColor="text1"/>
                      <w:szCs w:val="21"/>
                      <w:lang w:val="zh-CN"/>
                    </w:rPr>
                  </w:pPr>
                  <w:r>
                    <w:rPr>
                      <w:rFonts w:ascii="Times New Roman" w:hAnsi="Times New Roman"/>
                      <w:bCs/>
                      <w:color w:val="000000" w:themeColor="text1"/>
                      <w:szCs w:val="21"/>
                      <w:lang w:val="zh-CN"/>
                    </w:rPr>
                    <w:t>类别</w:t>
                  </w:r>
                </w:p>
              </w:tc>
              <w:tc>
                <w:tcPr>
                  <w:tcW w:w="1599" w:type="dxa"/>
                  <w:tcBorders>
                    <w:top w:val="single" w:color="auto" w:sz="4" w:space="0"/>
                    <w:left w:val="single" w:color="auto" w:sz="2" w:space="0"/>
                    <w:bottom w:val="single" w:color="auto" w:sz="2" w:space="0"/>
                    <w:right w:val="single" w:color="auto" w:sz="2" w:space="0"/>
                  </w:tcBorders>
                  <w:vAlign w:val="center"/>
                </w:tcPr>
                <w:p>
                  <w:pPr>
                    <w:jc w:val="center"/>
                    <w:rPr>
                      <w:rFonts w:ascii="Times New Roman" w:hAnsi="Times New Roman"/>
                      <w:bCs/>
                      <w:color w:val="000000" w:themeColor="text1"/>
                      <w:szCs w:val="21"/>
                      <w:lang w:val="zh-CN"/>
                    </w:rPr>
                  </w:pPr>
                  <w:r>
                    <w:rPr>
                      <w:rFonts w:ascii="Times New Roman" w:hAnsi="Times New Roman"/>
                      <w:bCs/>
                      <w:color w:val="000000" w:themeColor="text1"/>
                      <w:szCs w:val="21"/>
                      <w:lang w:val="zh-CN"/>
                    </w:rPr>
                    <w:t>监测项目</w:t>
                  </w:r>
                </w:p>
              </w:tc>
              <w:tc>
                <w:tcPr>
                  <w:tcW w:w="2190" w:type="dxa"/>
                  <w:tcBorders>
                    <w:top w:val="single" w:color="auto" w:sz="4" w:space="0"/>
                    <w:left w:val="single" w:color="auto" w:sz="2" w:space="0"/>
                    <w:bottom w:val="single" w:color="auto" w:sz="2" w:space="0"/>
                    <w:right w:val="single" w:color="auto" w:sz="2" w:space="0"/>
                  </w:tcBorders>
                  <w:vAlign w:val="center"/>
                </w:tcPr>
                <w:p>
                  <w:pPr>
                    <w:jc w:val="center"/>
                    <w:rPr>
                      <w:rFonts w:ascii="Times New Roman" w:hAnsi="Times New Roman"/>
                      <w:bCs/>
                      <w:color w:val="000000" w:themeColor="text1"/>
                      <w:szCs w:val="21"/>
                      <w:lang w:val="zh-CN"/>
                    </w:rPr>
                  </w:pPr>
                  <w:r>
                    <w:rPr>
                      <w:rFonts w:ascii="Times New Roman" w:hAnsi="Times New Roman"/>
                      <w:bCs/>
                      <w:color w:val="000000" w:themeColor="text1"/>
                      <w:szCs w:val="21"/>
                      <w:lang w:val="zh-CN"/>
                    </w:rPr>
                    <w:t>分析方法</w:t>
                  </w:r>
                </w:p>
              </w:tc>
              <w:tc>
                <w:tcPr>
                  <w:tcW w:w="2897" w:type="dxa"/>
                  <w:tcBorders>
                    <w:top w:val="single" w:color="auto" w:sz="4" w:space="0"/>
                    <w:left w:val="single" w:color="auto" w:sz="2" w:space="0"/>
                    <w:bottom w:val="single" w:color="auto" w:sz="2" w:space="0"/>
                    <w:right w:val="single" w:color="auto" w:sz="4" w:space="0"/>
                  </w:tcBorders>
                  <w:vAlign w:val="center"/>
                </w:tcPr>
                <w:p>
                  <w:pPr>
                    <w:jc w:val="center"/>
                    <w:rPr>
                      <w:rFonts w:ascii="Times New Roman" w:hAnsi="Times New Roman"/>
                      <w:bCs/>
                      <w:color w:val="000000" w:themeColor="text1"/>
                      <w:szCs w:val="21"/>
                      <w:lang w:val="zh-CN"/>
                    </w:rPr>
                  </w:pPr>
                  <w:r>
                    <w:rPr>
                      <w:rFonts w:ascii="Times New Roman" w:hAnsi="Times New Roman"/>
                      <w:bCs/>
                      <w:color w:val="000000" w:themeColor="text1"/>
                      <w:szCs w:val="21"/>
                      <w:lang w:val="zh-CN"/>
                    </w:rPr>
                    <w:t>分析方法标准号或来源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64" w:hRule="atLeast"/>
                <w:jc w:val="center"/>
              </w:trPr>
              <w:tc>
                <w:tcPr>
                  <w:tcW w:w="79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1</w:t>
                  </w:r>
                </w:p>
              </w:tc>
              <w:tc>
                <w:tcPr>
                  <w:tcW w:w="709" w:type="dxa"/>
                  <w:vMerge w:val="restart"/>
                  <w:tcBorders>
                    <w:top w:val="single" w:color="auto" w:sz="2" w:space="0"/>
                    <w:left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废水监测</w:t>
                  </w:r>
                </w:p>
              </w:tc>
              <w:tc>
                <w:tcPr>
                  <w:tcW w:w="159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lang w:val="zh-CN"/>
                    </w:rPr>
                    <w:t>pH值</w:t>
                  </w:r>
                </w:p>
              </w:tc>
              <w:tc>
                <w:tcPr>
                  <w:tcW w:w="219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电极法</w:t>
                  </w:r>
                </w:p>
              </w:tc>
              <w:tc>
                <w:tcPr>
                  <w:tcW w:w="2897"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HJ 1147-2020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9" w:hRule="atLeast"/>
                <w:jc w:val="center"/>
              </w:trPr>
              <w:tc>
                <w:tcPr>
                  <w:tcW w:w="79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2</w:t>
                  </w:r>
                </w:p>
              </w:tc>
              <w:tc>
                <w:tcPr>
                  <w:tcW w:w="709" w:type="dxa"/>
                  <w:vMerge w:val="continue"/>
                  <w:tcBorders>
                    <w:left w:val="single" w:color="auto" w:sz="2" w:space="0"/>
                    <w:right w:val="single" w:color="auto" w:sz="2" w:space="0"/>
                  </w:tcBorders>
                  <w:vAlign w:val="center"/>
                </w:tcPr>
                <w:p>
                  <w:pPr>
                    <w:widowControl/>
                    <w:jc w:val="left"/>
                    <w:rPr>
                      <w:rFonts w:ascii="Times New Roman" w:hAnsi="Times New Roman"/>
                      <w:color w:val="000000" w:themeColor="text1"/>
                      <w:szCs w:val="21"/>
                      <w:lang w:val="zh-CN"/>
                    </w:rPr>
                  </w:pPr>
                </w:p>
              </w:tc>
              <w:tc>
                <w:tcPr>
                  <w:tcW w:w="159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化学需氧量</w:t>
                  </w:r>
                </w:p>
              </w:tc>
              <w:tc>
                <w:tcPr>
                  <w:tcW w:w="219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重铬酸盐法</w:t>
                  </w:r>
                </w:p>
              </w:tc>
              <w:tc>
                <w:tcPr>
                  <w:tcW w:w="2897"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HJ828-2017</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7" w:hRule="atLeast"/>
                <w:jc w:val="center"/>
              </w:trPr>
              <w:tc>
                <w:tcPr>
                  <w:tcW w:w="79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3</w:t>
                  </w:r>
                </w:p>
              </w:tc>
              <w:tc>
                <w:tcPr>
                  <w:tcW w:w="709" w:type="dxa"/>
                  <w:vMerge w:val="continue"/>
                  <w:tcBorders>
                    <w:left w:val="single" w:color="auto" w:sz="2" w:space="0"/>
                    <w:right w:val="single" w:color="auto" w:sz="2" w:space="0"/>
                  </w:tcBorders>
                  <w:vAlign w:val="center"/>
                </w:tcPr>
                <w:p>
                  <w:pPr>
                    <w:widowControl/>
                    <w:jc w:val="left"/>
                    <w:rPr>
                      <w:rFonts w:ascii="Times New Roman" w:hAnsi="Times New Roman"/>
                      <w:color w:val="000000" w:themeColor="text1"/>
                      <w:szCs w:val="21"/>
                      <w:lang w:val="zh-CN"/>
                    </w:rPr>
                  </w:pPr>
                </w:p>
              </w:tc>
              <w:tc>
                <w:tcPr>
                  <w:tcW w:w="159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氨氮</w:t>
                  </w:r>
                </w:p>
              </w:tc>
              <w:tc>
                <w:tcPr>
                  <w:tcW w:w="219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纳氏试剂分光光度法</w:t>
                  </w:r>
                </w:p>
              </w:tc>
              <w:tc>
                <w:tcPr>
                  <w:tcW w:w="2897"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HJ 535</w:t>
                  </w:r>
                  <w:r>
                    <w:rPr>
                      <w:rFonts w:ascii="Times New Roman" w:hAnsi="Times New Roman"/>
                      <w:color w:val="000000" w:themeColor="text1"/>
                      <w:szCs w:val="21"/>
                    </w:rPr>
                    <w:t>-</w:t>
                  </w:r>
                  <w:r>
                    <w:rPr>
                      <w:rFonts w:ascii="Times New Roman" w:hAnsi="Times New Roman"/>
                      <w:color w:val="000000" w:themeColor="text1"/>
                      <w:szCs w:val="21"/>
                      <w:lang w:val="zh-CN"/>
                    </w:rPr>
                    <w:t>2009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9" w:hRule="atLeast"/>
                <w:jc w:val="center"/>
              </w:trPr>
              <w:tc>
                <w:tcPr>
                  <w:tcW w:w="79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4</w:t>
                  </w:r>
                </w:p>
              </w:tc>
              <w:tc>
                <w:tcPr>
                  <w:tcW w:w="709" w:type="dxa"/>
                  <w:vMerge w:val="continue"/>
                  <w:tcBorders>
                    <w:left w:val="single" w:color="auto" w:sz="2" w:space="0"/>
                    <w:right w:val="single" w:color="auto" w:sz="2" w:space="0"/>
                  </w:tcBorders>
                  <w:vAlign w:val="center"/>
                </w:tcPr>
                <w:p>
                  <w:pPr>
                    <w:widowControl/>
                    <w:jc w:val="left"/>
                    <w:rPr>
                      <w:rFonts w:ascii="Times New Roman" w:hAnsi="Times New Roman"/>
                      <w:color w:val="000000" w:themeColor="text1"/>
                      <w:szCs w:val="21"/>
                      <w:lang w:val="zh-CN"/>
                    </w:rPr>
                  </w:pPr>
                </w:p>
              </w:tc>
              <w:tc>
                <w:tcPr>
                  <w:tcW w:w="159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悬浮物</w:t>
                  </w:r>
                </w:p>
              </w:tc>
              <w:tc>
                <w:tcPr>
                  <w:tcW w:w="219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重量法</w:t>
                  </w:r>
                </w:p>
              </w:tc>
              <w:tc>
                <w:tcPr>
                  <w:tcW w:w="2897"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GB/T 11901</w:t>
                  </w:r>
                  <w:r>
                    <w:rPr>
                      <w:rFonts w:ascii="Times New Roman" w:hAnsi="Times New Roman"/>
                      <w:color w:val="000000" w:themeColor="text1"/>
                      <w:szCs w:val="21"/>
                    </w:rPr>
                    <w:t>-</w:t>
                  </w:r>
                  <w:r>
                    <w:rPr>
                      <w:rFonts w:ascii="Times New Roman" w:hAnsi="Times New Roman"/>
                      <w:color w:val="000000" w:themeColor="text1"/>
                      <w:szCs w:val="21"/>
                      <w:lang w:val="zh-CN"/>
                    </w:rPr>
                    <w:t>1989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9" w:hRule="atLeast"/>
                <w:jc w:val="center"/>
              </w:trPr>
              <w:tc>
                <w:tcPr>
                  <w:tcW w:w="79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5</w:t>
                  </w:r>
                </w:p>
              </w:tc>
              <w:tc>
                <w:tcPr>
                  <w:tcW w:w="709" w:type="dxa"/>
                  <w:vMerge w:val="continue"/>
                  <w:tcBorders>
                    <w:left w:val="single" w:color="auto" w:sz="2" w:space="0"/>
                    <w:right w:val="single" w:color="auto" w:sz="2" w:space="0"/>
                  </w:tcBorders>
                  <w:vAlign w:val="center"/>
                </w:tcPr>
                <w:p>
                  <w:pPr>
                    <w:widowControl/>
                    <w:jc w:val="left"/>
                    <w:rPr>
                      <w:rFonts w:ascii="Times New Roman" w:hAnsi="Times New Roman"/>
                      <w:color w:val="000000" w:themeColor="text1"/>
                      <w:szCs w:val="21"/>
                      <w:lang w:val="zh-CN"/>
                    </w:rPr>
                  </w:pPr>
                </w:p>
              </w:tc>
              <w:tc>
                <w:tcPr>
                  <w:tcW w:w="159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 xml:space="preserve">总磷 </w:t>
                  </w:r>
                </w:p>
              </w:tc>
              <w:tc>
                <w:tcPr>
                  <w:tcW w:w="219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 xml:space="preserve">钼酸铵分光光度法 </w:t>
                  </w:r>
                </w:p>
              </w:tc>
              <w:tc>
                <w:tcPr>
                  <w:tcW w:w="2897"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 xml:space="preserve">GB 11893－1989  </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45" w:hRule="atLeast"/>
                <w:jc w:val="center"/>
              </w:trPr>
              <w:tc>
                <w:tcPr>
                  <w:tcW w:w="79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6</w:t>
                  </w:r>
                </w:p>
              </w:tc>
              <w:tc>
                <w:tcPr>
                  <w:tcW w:w="709" w:type="dxa"/>
                  <w:vMerge w:val="continue"/>
                  <w:tcBorders>
                    <w:left w:val="single" w:color="auto" w:sz="2" w:space="0"/>
                    <w:right w:val="single" w:color="auto" w:sz="2" w:space="0"/>
                  </w:tcBorders>
                  <w:vAlign w:val="center"/>
                </w:tcPr>
                <w:p>
                  <w:pPr>
                    <w:widowControl/>
                    <w:jc w:val="left"/>
                    <w:rPr>
                      <w:rFonts w:ascii="Times New Roman" w:hAnsi="Times New Roman"/>
                      <w:color w:val="000000" w:themeColor="text1"/>
                      <w:szCs w:val="21"/>
                      <w:lang w:val="zh-CN"/>
                    </w:rPr>
                  </w:pPr>
                </w:p>
              </w:tc>
              <w:tc>
                <w:tcPr>
                  <w:tcW w:w="159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 xml:space="preserve">五日生化需氧量  </w:t>
                  </w:r>
                </w:p>
              </w:tc>
              <w:tc>
                <w:tcPr>
                  <w:tcW w:w="219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稀释与接种法</w:t>
                  </w:r>
                </w:p>
              </w:tc>
              <w:tc>
                <w:tcPr>
                  <w:tcW w:w="2897"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 xml:space="preserve">HJ 505-2009 </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79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000000" w:themeColor="text1"/>
                      <w:szCs w:val="21"/>
                    </w:rPr>
                  </w:pPr>
                  <w:r>
                    <w:rPr>
                      <w:rFonts w:ascii="Times New Roman" w:hAnsi="Times New Roman"/>
                      <w:color w:val="000000" w:themeColor="text1"/>
                      <w:szCs w:val="21"/>
                    </w:rPr>
                    <w:t>7</w:t>
                  </w:r>
                </w:p>
              </w:tc>
              <w:tc>
                <w:tcPr>
                  <w:tcW w:w="709" w:type="dxa"/>
                  <w:vMerge w:val="continue"/>
                  <w:tcBorders>
                    <w:left w:val="single" w:color="auto" w:sz="2" w:space="0"/>
                    <w:right w:val="single" w:color="auto" w:sz="2" w:space="0"/>
                  </w:tcBorders>
                  <w:vAlign w:val="center"/>
                </w:tcPr>
                <w:p>
                  <w:pPr>
                    <w:widowControl/>
                    <w:jc w:val="left"/>
                    <w:rPr>
                      <w:rFonts w:ascii="Times New Roman" w:hAnsi="Times New Roman"/>
                      <w:color w:val="000000" w:themeColor="text1"/>
                      <w:szCs w:val="21"/>
                      <w:lang w:val="zh-CN"/>
                    </w:rPr>
                  </w:pPr>
                </w:p>
              </w:tc>
              <w:tc>
                <w:tcPr>
                  <w:tcW w:w="159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总氮</w:t>
                  </w:r>
                </w:p>
              </w:tc>
              <w:tc>
                <w:tcPr>
                  <w:tcW w:w="219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eastAsiaTheme="minorEastAsia"/>
                      <w:color w:val="000000" w:themeColor="text1"/>
                      <w:szCs w:val="21"/>
                      <w:lang w:val="zh-CN"/>
                    </w:rPr>
                  </w:pPr>
                  <w:r>
                    <w:rPr>
                      <w:rFonts w:ascii="Times New Roman" w:hAnsiTheme="minorEastAsia" w:eastAsiaTheme="minorEastAsia"/>
                      <w:szCs w:val="21"/>
                    </w:rPr>
                    <w:t>碱性过硫酸钾消解紫外分光光度法</w:t>
                  </w:r>
                </w:p>
              </w:tc>
              <w:tc>
                <w:tcPr>
                  <w:tcW w:w="2897"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000000" w:themeColor="text1"/>
                      <w:szCs w:val="21"/>
                      <w:lang w:val="zh-CN"/>
                    </w:rPr>
                  </w:pPr>
                  <w:r>
                    <w:rPr>
                      <w:rFonts w:ascii="Times New Roman" w:hAnsi="Times New Roman"/>
                      <w:color w:val="000000" w:themeColor="text1"/>
                      <w:szCs w:val="21"/>
                    </w:rPr>
                    <w:t>HJ 636-2012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791" w:type="dxa"/>
                  <w:tcBorders>
                    <w:top w:val="single" w:color="auto" w:sz="2" w:space="0"/>
                    <w:left w:val="single" w:color="auto" w:sz="4" w:space="0"/>
                    <w:bottom w:val="single" w:color="auto" w:sz="2" w:space="0"/>
                    <w:right w:val="single" w:color="auto" w:sz="2" w:space="0"/>
                  </w:tcBorders>
                  <w:vAlign w:val="center"/>
                </w:tcPr>
                <w:p>
                  <w:pPr>
                    <w:jc w:val="center"/>
                    <w:rPr>
                      <w:rFonts w:ascii="Times New Roman" w:hAnsi="Times New Roman"/>
                      <w:color w:val="000000" w:themeColor="text1"/>
                      <w:szCs w:val="21"/>
                    </w:rPr>
                  </w:pPr>
                  <w:r>
                    <w:rPr>
                      <w:rFonts w:hint="eastAsia" w:ascii="Times New Roman" w:hAnsi="Times New Roman"/>
                      <w:color w:val="000000" w:themeColor="text1"/>
                      <w:szCs w:val="21"/>
                    </w:rPr>
                    <w:t>8</w:t>
                  </w:r>
                </w:p>
              </w:tc>
              <w:tc>
                <w:tcPr>
                  <w:tcW w:w="709" w:type="dxa"/>
                  <w:vMerge w:val="continue"/>
                  <w:tcBorders>
                    <w:left w:val="single" w:color="auto" w:sz="2" w:space="0"/>
                    <w:bottom w:val="single" w:color="auto" w:sz="4" w:space="0"/>
                    <w:right w:val="single" w:color="auto" w:sz="2" w:space="0"/>
                  </w:tcBorders>
                  <w:vAlign w:val="center"/>
                </w:tcPr>
                <w:p>
                  <w:pPr>
                    <w:widowControl/>
                    <w:jc w:val="left"/>
                    <w:rPr>
                      <w:rFonts w:ascii="Times New Roman" w:hAnsi="Times New Roman"/>
                      <w:color w:val="000000" w:themeColor="text1"/>
                      <w:szCs w:val="21"/>
                      <w:lang w:val="zh-CN"/>
                    </w:rPr>
                  </w:pPr>
                </w:p>
              </w:tc>
              <w:tc>
                <w:tcPr>
                  <w:tcW w:w="1599"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imes New Roman"/>
                      <w:color w:val="000000" w:themeColor="text1"/>
                      <w:szCs w:val="21"/>
                      <w:lang w:val="zh-CN"/>
                    </w:rPr>
                  </w:pPr>
                  <w:r>
                    <w:rPr>
                      <w:rFonts w:hint="eastAsia" w:ascii="Times New Roman" w:hAnsi="Times New Roman"/>
                      <w:color w:val="000000" w:themeColor="text1"/>
                      <w:szCs w:val="21"/>
                      <w:lang w:val="zh-CN"/>
                    </w:rPr>
                    <w:t>动植物油类</w:t>
                  </w:r>
                </w:p>
              </w:tc>
              <w:tc>
                <w:tcPr>
                  <w:tcW w:w="2190" w:type="dxa"/>
                  <w:tcBorders>
                    <w:top w:val="single" w:color="auto" w:sz="2" w:space="0"/>
                    <w:left w:val="single" w:color="auto" w:sz="2" w:space="0"/>
                    <w:bottom w:val="single" w:color="auto" w:sz="2" w:space="0"/>
                    <w:right w:val="single" w:color="auto" w:sz="2" w:space="0"/>
                  </w:tcBorders>
                  <w:vAlign w:val="center"/>
                </w:tcPr>
                <w:p>
                  <w:pPr>
                    <w:jc w:val="center"/>
                    <w:rPr>
                      <w:rFonts w:ascii="Times New Roman" w:hAnsiTheme="minorEastAsia" w:eastAsiaTheme="minorEastAsia"/>
                      <w:szCs w:val="21"/>
                    </w:rPr>
                  </w:pPr>
                  <w:r>
                    <w:rPr>
                      <w:rFonts w:hint="eastAsia" w:ascii="宋体" w:hAnsi="宋体" w:cs="宋体"/>
                      <w:szCs w:val="21"/>
                    </w:rPr>
                    <w:t>红外分光光度法</w:t>
                  </w:r>
                </w:p>
              </w:tc>
              <w:tc>
                <w:tcPr>
                  <w:tcW w:w="2897" w:type="dxa"/>
                  <w:tcBorders>
                    <w:top w:val="single" w:color="auto" w:sz="2" w:space="0"/>
                    <w:left w:val="single" w:color="auto" w:sz="2" w:space="0"/>
                    <w:bottom w:val="single" w:color="auto" w:sz="2" w:space="0"/>
                    <w:right w:val="single" w:color="auto" w:sz="4" w:space="0"/>
                  </w:tcBorders>
                  <w:vAlign w:val="center"/>
                </w:tcPr>
                <w:p>
                  <w:pPr>
                    <w:jc w:val="center"/>
                    <w:rPr>
                      <w:rFonts w:ascii="Times New Roman" w:hAnsi="Times New Roman"/>
                      <w:color w:val="000000" w:themeColor="text1"/>
                      <w:szCs w:val="21"/>
                    </w:rPr>
                  </w:pPr>
                  <w:r>
                    <w:rPr>
                      <w:rFonts w:hint="eastAsia" w:ascii="宋体" w:hAnsi="宋体" w:cs="宋体"/>
                      <w:szCs w:val="21"/>
                    </w:rPr>
                    <w:t>HJ 637-2018</w:t>
                  </w:r>
                </w:p>
              </w:tc>
            </w:tr>
          </w:tbl>
          <w:p>
            <w:pPr>
              <w:spacing w:beforeLines="50"/>
              <w:ind w:firstLine="482" w:firstLineChars="200"/>
              <w:rPr>
                <w:rFonts w:ascii="Times New Roman" w:hAnsi="Times New Roman"/>
                <w:b/>
                <w:bCs/>
                <w:kern w:val="0"/>
                <w:sz w:val="24"/>
              </w:rPr>
            </w:pPr>
            <w:bookmarkStart w:id="11" w:name="_Toc7211"/>
            <w:bookmarkStart w:id="12" w:name="_Toc5918"/>
            <w:r>
              <w:rPr>
                <w:rFonts w:ascii="Times New Roman" w:hAnsi="Times New Roman"/>
                <w:b/>
                <w:bCs/>
                <w:kern w:val="0"/>
                <w:sz w:val="24"/>
              </w:rPr>
              <w:t>5.1.2</w:t>
            </w:r>
            <w:r>
              <w:rPr>
                <w:rFonts w:ascii="Times New Roman" w:hAnsi="Arial"/>
                <w:b/>
                <w:bCs/>
                <w:kern w:val="0"/>
                <w:sz w:val="24"/>
              </w:rPr>
              <w:t>废气</w:t>
            </w:r>
            <w:bookmarkEnd w:id="11"/>
            <w:bookmarkEnd w:id="12"/>
          </w:p>
          <w:p>
            <w:pPr>
              <w:ind w:firstLine="480" w:firstLineChars="200"/>
              <w:rPr>
                <w:rFonts w:ascii="Times New Roman" w:hAnsi="Times New Roman"/>
                <w:kern w:val="0"/>
                <w:sz w:val="24"/>
              </w:rPr>
            </w:pPr>
            <w:r>
              <w:rPr>
                <w:rFonts w:ascii="Times New Roman" w:hAnsi="Arial"/>
                <w:kern w:val="0"/>
                <w:sz w:val="24"/>
              </w:rPr>
              <w:t>本项目废气监测因子分析方法见表</w:t>
            </w:r>
            <w:r>
              <w:rPr>
                <w:rFonts w:ascii="Times New Roman" w:hAnsi="Times New Roman"/>
                <w:kern w:val="0"/>
                <w:sz w:val="24"/>
              </w:rPr>
              <w:t>5-2</w:t>
            </w:r>
            <w:r>
              <w:rPr>
                <w:rFonts w:ascii="Times New Roman" w:hAnsi="Arial"/>
                <w:kern w:val="0"/>
                <w:sz w:val="24"/>
              </w:rPr>
              <w:t>、表</w:t>
            </w:r>
            <w:r>
              <w:rPr>
                <w:rFonts w:ascii="Times New Roman" w:hAnsi="Times New Roman"/>
                <w:kern w:val="0"/>
                <w:sz w:val="24"/>
              </w:rPr>
              <w:t>5-3</w:t>
            </w:r>
            <w:r>
              <w:rPr>
                <w:rFonts w:ascii="Times New Roman" w:hAnsi="Arial"/>
                <w:kern w:val="0"/>
                <w:sz w:val="24"/>
              </w:rPr>
              <w:t>。</w:t>
            </w:r>
          </w:p>
          <w:p>
            <w:pPr>
              <w:pStyle w:val="13"/>
              <w:spacing w:beforeLines="20" w:line="288" w:lineRule="auto"/>
              <w:jc w:val="center"/>
              <w:rPr>
                <w:rFonts w:ascii="Times New Roman" w:hAnsi="Times New Roman"/>
                <w:b/>
                <w:bCs/>
                <w:kern w:val="0"/>
                <w:sz w:val="20"/>
                <w:szCs w:val="21"/>
              </w:rPr>
            </w:pPr>
            <w:r>
              <w:rPr>
                <w:rFonts w:ascii="Times New Roman" w:hAnsi="Arial"/>
                <w:b/>
                <w:bCs/>
                <w:kern w:val="0"/>
                <w:sz w:val="20"/>
                <w:szCs w:val="21"/>
              </w:rPr>
              <w:t>表</w:t>
            </w:r>
            <w:r>
              <w:rPr>
                <w:rFonts w:ascii="Times New Roman" w:hAnsi="Times New Roman"/>
                <w:b/>
                <w:bCs/>
                <w:kern w:val="0"/>
                <w:sz w:val="20"/>
                <w:szCs w:val="21"/>
              </w:rPr>
              <w:t xml:space="preserve">5-2 </w:t>
            </w:r>
            <w:r>
              <w:rPr>
                <w:rFonts w:ascii="Times New Roman" w:hAnsi="Arial"/>
                <w:b/>
                <w:bCs/>
                <w:kern w:val="0"/>
                <w:sz w:val="20"/>
                <w:szCs w:val="21"/>
              </w:rPr>
              <w:t>有组织废气监测因子分析方法及检出限</w:t>
            </w:r>
          </w:p>
          <w:tbl>
            <w:tblPr>
              <w:tblStyle w:val="33"/>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265"/>
              <w:gridCol w:w="5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blHeader/>
                <w:jc w:val="center"/>
              </w:trPr>
              <w:tc>
                <w:tcPr>
                  <w:tcW w:w="48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Arial"/>
                      <w:bCs/>
                      <w:szCs w:val="21"/>
                    </w:rPr>
                    <w:t>序号</w:t>
                  </w:r>
                </w:p>
              </w:tc>
              <w:tc>
                <w:tcPr>
                  <w:tcW w:w="79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Arial"/>
                      <w:bCs/>
                      <w:szCs w:val="21"/>
                    </w:rPr>
                    <w:t>监测因子</w:t>
                  </w:r>
                </w:p>
              </w:tc>
              <w:tc>
                <w:tcPr>
                  <w:tcW w:w="3722" w:type="pct"/>
                  <w:tcBorders>
                    <w:top w:val="single" w:color="auto" w:sz="4" w:space="0"/>
                    <w:left w:val="single" w:color="auto" w:sz="4" w:space="0"/>
                    <w:bottom w:val="single" w:color="auto" w:sz="4" w:space="0"/>
                    <w:right w:val="single" w:color="auto" w:sz="4" w:space="0"/>
                  </w:tcBorders>
                  <w:vAlign w:val="center"/>
                </w:tcPr>
                <w:p>
                  <w:pPr>
                    <w:pStyle w:val="29"/>
                    <w:spacing w:line="240" w:lineRule="auto"/>
                    <w:rPr>
                      <w:rFonts w:ascii="Times New Roman" w:hAnsi="Times New Roman" w:cs="Times New Roman"/>
                      <w:bCs/>
                      <w:color w:val="auto"/>
                      <w:sz w:val="21"/>
                      <w:szCs w:val="21"/>
                    </w:rPr>
                  </w:pPr>
                  <w:r>
                    <w:rPr>
                      <w:rFonts w:ascii="Times New Roman" w:hAnsi="Arial" w:cs="Times New Roman"/>
                      <w:bCs/>
                      <w:color w:val="auto"/>
                      <w:sz w:val="21"/>
                      <w:szCs w:val="21"/>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w:t>
                  </w:r>
                </w:p>
              </w:tc>
              <w:tc>
                <w:tcPr>
                  <w:tcW w:w="79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油烟</w:t>
                  </w:r>
                </w:p>
              </w:tc>
              <w:tc>
                <w:tcPr>
                  <w:tcW w:w="372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固定污染源废气油烟和油雾的测定红外分光光度法</w:t>
                  </w:r>
                  <w:r>
                    <w:rPr>
                      <w:rFonts w:ascii="Times New Roman" w:hAnsi="Times New Roman"/>
                      <w:szCs w:val="21"/>
                    </w:rPr>
                    <w:t>HJ1077-2019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w:t>
                  </w:r>
                </w:p>
              </w:tc>
              <w:tc>
                <w:tcPr>
                  <w:tcW w:w="79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低浓度颗粒物</w:t>
                  </w:r>
                </w:p>
              </w:tc>
              <w:tc>
                <w:tcPr>
                  <w:tcW w:w="372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固定污染源废气低浓度颗粒物的测定重量法</w:t>
                  </w:r>
                  <w:r>
                    <w:rPr>
                      <w:rFonts w:ascii="Times New Roman" w:hAnsi="Times New Roman"/>
                      <w:szCs w:val="21"/>
                    </w:rPr>
                    <w:t>HJ836-2017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3</w:t>
                  </w:r>
                </w:p>
              </w:tc>
              <w:tc>
                <w:tcPr>
                  <w:tcW w:w="79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二氧化硫</w:t>
                  </w:r>
                </w:p>
              </w:tc>
              <w:tc>
                <w:tcPr>
                  <w:tcW w:w="372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固定污染源废气二氧化硫的测定定电位电解法</w:t>
                  </w:r>
                  <w:r>
                    <w:rPr>
                      <w:rFonts w:ascii="Times New Roman" w:hAnsi="Times New Roman"/>
                      <w:szCs w:val="21"/>
                    </w:rPr>
                    <w:t>HJ57-2017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4</w:t>
                  </w:r>
                </w:p>
              </w:tc>
              <w:tc>
                <w:tcPr>
                  <w:tcW w:w="79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氮氧化物</w:t>
                  </w:r>
                </w:p>
              </w:tc>
              <w:tc>
                <w:tcPr>
                  <w:tcW w:w="372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固定污染源废气氮氧化物的测定定电位电解法</w:t>
                  </w:r>
                  <w:r>
                    <w:rPr>
                      <w:rFonts w:ascii="Times New Roman" w:hAnsi="Times New Roman"/>
                      <w:szCs w:val="21"/>
                    </w:rPr>
                    <w:t>HJ693-2014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5</w:t>
                  </w:r>
                </w:p>
              </w:tc>
              <w:tc>
                <w:tcPr>
                  <w:tcW w:w="79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烟气黑度</w:t>
                  </w:r>
                </w:p>
              </w:tc>
              <w:tc>
                <w:tcPr>
                  <w:tcW w:w="372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固定污染源排放烟气黑度的测定林格曼烟气黑度图法</w:t>
                  </w:r>
                  <w:r>
                    <w:rPr>
                      <w:rFonts w:ascii="Times New Roman" w:hAnsi="Times New Roman"/>
                      <w:szCs w:val="21"/>
                    </w:rPr>
                    <w:t>HJ/T 398-2007</w:t>
                  </w:r>
                </w:p>
              </w:tc>
            </w:tr>
          </w:tbl>
          <w:p>
            <w:pPr>
              <w:pStyle w:val="13"/>
              <w:spacing w:beforeLines="20" w:line="288" w:lineRule="auto"/>
              <w:jc w:val="center"/>
              <w:rPr>
                <w:rFonts w:ascii="Times New Roman" w:hAnsi="Times New Roman"/>
                <w:b/>
                <w:bCs/>
                <w:kern w:val="0"/>
                <w:sz w:val="20"/>
                <w:szCs w:val="21"/>
              </w:rPr>
            </w:pPr>
            <w:r>
              <w:rPr>
                <w:rFonts w:ascii="Times New Roman" w:hAnsi="Arial"/>
                <w:b/>
                <w:bCs/>
                <w:kern w:val="0"/>
                <w:sz w:val="20"/>
                <w:szCs w:val="21"/>
              </w:rPr>
              <w:t>表</w:t>
            </w:r>
            <w:r>
              <w:rPr>
                <w:rFonts w:ascii="Times New Roman" w:hAnsi="Times New Roman"/>
                <w:b/>
                <w:bCs/>
                <w:kern w:val="0"/>
                <w:sz w:val="20"/>
                <w:szCs w:val="21"/>
              </w:rPr>
              <w:t xml:space="preserve">5-3 </w:t>
            </w:r>
            <w:r>
              <w:rPr>
                <w:rFonts w:ascii="Times New Roman" w:hAnsi="Arial"/>
                <w:b/>
                <w:bCs/>
                <w:kern w:val="0"/>
                <w:sz w:val="20"/>
                <w:szCs w:val="21"/>
              </w:rPr>
              <w:t>无组织废气监测因子分析方法及检出限</w:t>
            </w:r>
          </w:p>
          <w:tbl>
            <w:tblPr>
              <w:tblStyle w:val="33"/>
              <w:tblW w:w="48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449"/>
              <w:gridCol w:w="5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49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序号</w:t>
                  </w:r>
                </w:p>
              </w:tc>
              <w:tc>
                <w:tcPr>
                  <w:tcW w:w="905" w:type="pct"/>
                  <w:tcBorders>
                    <w:top w:val="single" w:color="auto" w:sz="4" w:space="0"/>
                    <w:left w:val="single" w:color="auto" w:sz="4" w:space="0"/>
                    <w:bottom w:val="single" w:color="auto" w:sz="4" w:space="0"/>
                    <w:right w:val="single" w:color="auto" w:sz="4" w:space="0"/>
                  </w:tcBorders>
                  <w:vAlign w:val="center"/>
                </w:tcPr>
                <w:p>
                  <w:pPr>
                    <w:ind w:left="162"/>
                    <w:jc w:val="center"/>
                    <w:rPr>
                      <w:rFonts w:ascii="Times New Roman" w:hAnsi="Times New Roman"/>
                      <w:bCs/>
                      <w:szCs w:val="21"/>
                    </w:rPr>
                  </w:pPr>
                  <w:r>
                    <w:rPr>
                      <w:rFonts w:ascii="Times New Roman" w:hAnsi="Times New Roman"/>
                      <w:bCs/>
                      <w:szCs w:val="21"/>
                    </w:rPr>
                    <w:t>监测因子</w:t>
                  </w:r>
                </w:p>
              </w:tc>
              <w:tc>
                <w:tcPr>
                  <w:tcW w:w="3599" w:type="pct"/>
                  <w:tcBorders>
                    <w:top w:val="single" w:color="auto" w:sz="4" w:space="0"/>
                    <w:left w:val="single" w:color="auto" w:sz="4" w:space="0"/>
                    <w:bottom w:val="single" w:color="auto" w:sz="4" w:space="0"/>
                    <w:right w:val="single" w:color="auto" w:sz="4" w:space="0"/>
                  </w:tcBorders>
                  <w:vAlign w:val="center"/>
                </w:tcPr>
                <w:p>
                  <w:pPr>
                    <w:pStyle w:val="29"/>
                    <w:spacing w:line="240" w:lineRule="auto"/>
                    <w:rPr>
                      <w:rFonts w:ascii="Times New Roman" w:hAnsi="Times New Roman" w:cs="Times New Roman"/>
                      <w:bCs/>
                      <w:color w:val="auto"/>
                      <w:sz w:val="21"/>
                      <w:szCs w:val="21"/>
                    </w:rPr>
                  </w:pPr>
                  <w:r>
                    <w:rPr>
                      <w:rFonts w:ascii="Times New Roman" w:hAnsi="Times New Roman" w:cs="Times New Roman"/>
                      <w:bCs/>
                      <w:color w:val="auto"/>
                      <w:sz w:val="21"/>
                      <w:szCs w:val="21"/>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9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w:t>
                  </w:r>
                </w:p>
              </w:tc>
              <w:tc>
                <w:tcPr>
                  <w:tcW w:w="9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非甲烷总烃</w:t>
                  </w:r>
                </w:p>
              </w:tc>
              <w:tc>
                <w:tcPr>
                  <w:tcW w:w="3599" w:type="pct"/>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olor w:val="000000"/>
                      <w:szCs w:val="21"/>
                    </w:rPr>
                  </w:pPr>
                  <w:r>
                    <w:rPr>
                      <w:rFonts w:ascii="Times New Roman" w:hAnsi="宋体"/>
                      <w:szCs w:val="21"/>
                    </w:rPr>
                    <w:t>气相色谱仪</w:t>
                  </w:r>
                  <w:r>
                    <w:rPr>
                      <w:rFonts w:ascii="Times New Roman" w:hAnsi="Times New Roman"/>
                      <w:szCs w:val="21"/>
                    </w:rPr>
                    <w:t>GC1120</w:t>
                  </w:r>
                  <w:r>
                    <w:rPr>
                      <w:rFonts w:ascii="Times New Roman" w:hAnsi="宋体"/>
                      <w:szCs w:val="21"/>
                    </w:rPr>
                    <w:t>（编号：</w:t>
                  </w:r>
                  <w:r>
                    <w:rPr>
                      <w:rFonts w:ascii="Times New Roman" w:hAnsi="Times New Roman"/>
                      <w:color w:val="000000"/>
                      <w:kern w:val="0"/>
                      <w:szCs w:val="21"/>
                    </w:rPr>
                    <w:t>ZHJC01012</w:t>
                  </w:r>
                  <w:r>
                    <w:rPr>
                      <w:rFonts w:ascii="Times New Roman" w:hAnsi="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9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w:t>
                  </w:r>
                </w:p>
              </w:tc>
              <w:tc>
                <w:tcPr>
                  <w:tcW w:w="9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trike/>
                      <w:szCs w:val="21"/>
                      <w:highlight w:val="yellow"/>
                    </w:rPr>
                  </w:pPr>
                  <w:r>
                    <w:rPr>
                      <w:rFonts w:ascii="Times New Roman" w:hAnsi="Times New Roman"/>
                      <w:szCs w:val="21"/>
                    </w:rPr>
                    <w:t>氮氧化物</w:t>
                  </w:r>
                </w:p>
              </w:tc>
              <w:tc>
                <w:tcPr>
                  <w:tcW w:w="3599"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000000"/>
                      <w:kern w:val="0"/>
                      <w:szCs w:val="21"/>
                    </w:rPr>
                  </w:pPr>
                  <w:r>
                    <w:rPr>
                      <w:rFonts w:ascii="Times New Roman" w:hAnsi="宋体"/>
                      <w:color w:val="000000"/>
                      <w:kern w:val="0"/>
                      <w:szCs w:val="21"/>
                    </w:rPr>
                    <w:t>环境空气颗粒物综合采样器</w:t>
                  </w:r>
                  <w:r>
                    <w:rPr>
                      <w:rFonts w:ascii="Times New Roman" w:hAnsi="Times New Roman"/>
                      <w:color w:val="000000"/>
                      <w:kern w:val="0"/>
                      <w:szCs w:val="21"/>
                    </w:rPr>
                    <w:t>ZR-3922</w:t>
                  </w:r>
                  <w:r>
                    <w:rPr>
                      <w:rFonts w:ascii="Times New Roman" w:hAnsi="宋体"/>
                      <w:szCs w:val="21"/>
                    </w:rPr>
                    <w:t>（编号：</w:t>
                  </w:r>
                  <w:r>
                    <w:rPr>
                      <w:rFonts w:ascii="Times New Roman" w:hAnsi="Times New Roman"/>
                      <w:color w:val="000000"/>
                      <w:kern w:val="0"/>
                      <w:szCs w:val="21"/>
                    </w:rPr>
                    <w:t>ZHJC01309</w:t>
                  </w:r>
                  <w:r>
                    <w:rPr>
                      <w:rFonts w:ascii="Times New Roman" w:hAnsi="宋体"/>
                      <w:color w:val="000000"/>
                      <w:kern w:val="0"/>
                      <w:szCs w:val="21"/>
                    </w:rPr>
                    <w:t>、</w:t>
                  </w:r>
                  <w:r>
                    <w:rPr>
                      <w:rFonts w:ascii="Times New Roman" w:hAnsi="Times New Roman"/>
                      <w:color w:val="000000"/>
                      <w:kern w:val="0"/>
                      <w:szCs w:val="21"/>
                    </w:rPr>
                    <w:t>ZHJC01310</w:t>
                  </w:r>
                  <w:r>
                    <w:rPr>
                      <w:rFonts w:ascii="Times New Roman" w:hAnsi="宋体"/>
                      <w:color w:val="000000"/>
                      <w:kern w:val="0"/>
                      <w:szCs w:val="21"/>
                    </w:rPr>
                    <w:t>、</w:t>
                  </w:r>
                  <w:r>
                    <w:rPr>
                      <w:rFonts w:ascii="Times New Roman" w:hAnsi="Times New Roman"/>
                      <w:color w:val="000000"/>
                      <w:kern w:val="0"/>
                      <w:szCs w:val="21"/>
                    </w:rPr>
                    <w:t>ZHJC01311</w:t>
                  </w:r>
                  <w:r>
                    <w:rPr>
                      <w:rFonts w:ascii="Times New Roman" w:hAnsi="宋体"/>
                      <w:color w:val="000000"/>
                      <w:kern w:val="0"/>
                      <w:szCs w:val="21"/>
                    </w:rPr>
                    <w:t>、</w:t>
                  </w:r>
                  <w:r>
                    <w:rPr>
                      <w:rFonts w:ascii="Times New Roman" w:hAnsi="Times New Roman"/>
                      <w:color w:val="000000"/>
                      <w:kern w:val="0"/>
                      <w:szCs w:val="21"/>
                    </w:rPr>
                    <w:t>ZHJC01312</w:t>
                  </w:r>
                  <w:r>
                    <w:rPr>
                      <w:rFonts w:ascii="Times New Roman" w:hAnsi="宋体"/>
                      <w:color w:val="000000"/>
                      <w:kern w:val="0"/>
                      <w:szCs w:val="21"/>
                    </w:rPr>
                    <w:t>）</w:t>
                  </w:r>
                </w:p>
                <w:p>
                  <w:pPr>
                    <w:rPr>
                      <w:rFonts w:ascii="Times New Roman" w:hAnsi="Times New Roman"/>
                      <w:color w:val="000000"/>
                      <w:kern w:val="0"/>
                      <w:szCs w:val="21"/>
                    </w:rPr>
                  </w:pPr>
                  <w:r>
                    <w:rPr>
                      <w:rFonts w:ascii="Times New Roman" w:hAnsi="宋体"/>
                      <w:color w:val="000000"/>
                      <w:kern w:val="0"/>
                      <w:szCs w:val="21"/>
                    </w:rPr>
                    <w:t>可见分光光度计</w:t>
                  </w:r>
                  <w:r>
                    <w:rPr>
                      <w:rFonts w:ascii="Times New Roman" w:hAnsi="Times New Roman"/>
                      <w:color w:val="000000"/>
                      <w:kern w:val="0"/>
                      <w:szCs w:val="21"/>
                    </w:rPr>
                    <w:t>V-3000</w:t>
                  </w:r>
                  <w:r>
                    <w:rPr>
                      <w:rFonts w:ascii="Times New Roman" w:hAnsi="宋体"/>
                      <w:szCs w:val="21"/>
                    </w:rPr>
                    <w:t>（编号：</w:t>
                  </w:r>
                  <w:r>
                    <w:rPr>
                      <w:rFonts w:ascii="Times New Roman" w:hAnsi="Times New Roman"/>
                      <w:color w:val="000000"/>
                      <w:kern w:val="0"/>
                      <w:szCs w:val="21"/>
                    </w:rPr>
                    <w:t>ZHJC01031</w:t>
                  </w:r>
                  <w:r>
                    <w:rPr>
                      <w:rFonts w:ascii="Times New Roman" w:hAnsi="宋体"/>
                      <w:color w:val="000000"/>
                      <w:kern w:val="0"/>
                      <w:szCs w:val="21"/>
                    </w:rPr>
                    <w:t>）</w:t>
                  </w:r>
                </w:p>
              </w:tc>
            </w:tr>
          </w:tbl>
          <w:p>
            <w:pPr>
              <w:spacing w:line="360" w:lineRule="auto"/>
              <w:ind w:firstLine="482" w:firstLineChars="200"/>
              <w:rPr>
                <w:rFonts w:ascii="Times New Roman" w:hAnsi="Times New Roman"/>
                <w:b/>
                <w:bCs/>
                <w:kern w:val="0"/>
                <w:sz w:val="24"/>
              </w:rPr>
            </w:pPr>
            <w:bookmarkStart w:id="13" w:name="_Toc22478"/>
            <w:r>
              <w:rPr>
                <w:rFonts w:ascii="Times New Roman" w:hAnsi="Times New Roman"/>
                <w:b/>
                <w:bCs/>
                <w:kern w:val="0"/>
                <w:sz w:val="24"/>
              </w:rPr>
              <w:t>5.1.3</w:t>
            </w:r>
            <w:r>
              <w:rPr>
                <w:rFonts w:ascii="Times New Roman" w:hAnsi="Arial"/>
                <w:b/>
                <w:bCs/>
                <w:kern w:val="0"/>
                <w:sz w:val="24"/>
              </w:rPr>
              <w:t>噪声</w:t>
            </w:r>
            <w:bookmarkEnd w:id="13"/>
          </w:p>
          <w:p>
            <w:pPr>
              <w:spacing w:line="360" w:lineRule="auto"/>
              <w:ind w:firstLine="480" w:firstLineChars="200"/>
              <w:rPr>
                <w:rFonts w:ascii="Times New Roman" w:hAnsi="Times New Roman"/>
                <w:kern w:val="0"/>
                <w:sz w:val="24"/>
              </w:rPr>
            </w:pPr>
            <w:r>
              <w:rPr>
                <w:rFonts w:ascii="Times New Roman" w:hAnsi="Times New Roman"/>
                <w:kern w:val="0"/>
                <w:sz w:val="24"/>
              </w:rPr>
              <w:t>本项目厂界环境噪声监测按照《工业企业厂界环境噪声排放标准》（GB12348-2008）进行。噪声修正执行《环境噪声监测技术规范噪声测量值修正》（HJ706-2014）中规定：</w:t>
            </w:r>
          </w:p>
          <w:p>
            <w:pPr>
              <w:tabs>
                <w:tab w:val="left" w:pos="840"/>
              </w:tabs>
              <w:spacing w:line="360" w:lineRule="auto"/>
              <w:ind w:left="480"/>
              <w:rPr>
                <w:rFonts w:ascii="Times New Roman" w:hAnsi="Times New Roman"/>
                <w:kern w:val="0"/>
                <w:sz w:val="24"/>
              </w:rPr>
            </w:pPr>
            <w:r>
              <w:rPr>
                <w:rFonts w:ascii="Times New Roman" w:hAnsi="Times New Roman"/>
                <w:kern w:val="0"/>
                <w:sz w:val="24"/>
              </w:rPr>
              <w:t>1、噪声测量值与背景噪声相差大于10dB（A）时，噪声测量值不做修正。</w:t>
            </w:r>
          </w:p>
          <w:p>
            <w:pPr>
              <w:spacing w:line="360" w:lineRule="auto"/>
              <w:ind w:firstLine="480" w:firstLineChars="200"/>
              <w:rPr>
                <w:rFonts w:ascii="Times New Roman" w:hAnsi="Times New Roman"/>
                <w:kern w:val="0"/>
                <w:sz w:val="24"/>
              </w:rPr>
            </w:pPr>
            <w:r>
              <w:rPr>
                <w:rFonts w:ascii="Times New Roman" w:hAnsi="Times New Roman"/>
                <w:kern w:val="0"/>
                <w:sz w:val="24"/>
              </w:rPr>
              <w:t>2、噪声测量值与背景噪声相差在3dB（A）~10dB（A）之间时，噪声测量值与背景噪声的差值取整后，按表5-4进行修正。</w:t>
            </w:r>
          </w:p>
          <w:p>
            <w:pPr>
              <w:pStyle w:val="13"/>
              <w:spacing w:beforeLines="20" w:line="288" w:lineRule="auto"/>
              <w:ind w:right="400"/>
              <w:jc w:val="center"/>
              <w:rPr>
                <w:rFonts w:ascii="Times New Roman" w:hAnsi="Times New Roman"/>
                <w:b/>
                <w:bCs/>
                <w:kern w:val="0"/>
                <w:sz w:val="20"/>
                <w:szCs w:val="21"/>
              </w:rPr>
            </w:pPr>
            <w:r>
              <w:rPr>
                <w:rFonts w:ascii="Times New Roman" w:hAnsi="Arial"/>
                <w:b/>
                <w:bCs/>
                <w:kern w:val="0"/>
                <w:sz w:val="20"/>
                <w:szCs w:val="21"/>
              </w:rPr>
              <w:t>表</w:t>
            </w:r>
            <w:r>
              <w:rPr>
                <w:rFonts w:ascii="Times New Roman" w:hAnsi="Times New Roman"/>
                <w:b/>
                <w:bCs/>
                <w:kern w:val="0"/>
                <w:sz w:val="20"/>
                <w:szCs w:val="21"/>
              </w:rPr>
              <w:t xml:space="preserve">5-4 </w:t>
            </w:r>
            <w:r>
              <w:rPr>
                <w:rFonts w:ascii="Times New Roman" w:hAnsi="Arial"/>
                <w:b/>
                <w:bCs/>
                <w:kern w:val="0"/>
                <w:sz w:val="20"/>
                <w:szCs w:val="21"/>
              </w:rPr>
              <w:t>噪声测量修正值</w:t>
            </w:r>
            <w:r>
              <w:rPr>
                <w:rFonts w:ascii="Times New Roman" w:hAnsi="Arial"/>
                <w:b/>
                <w:kern w:val="0"/>
                <w:sz w:val="20"/>
                <w:szCs w:val="21"/>
              </w:rPr>
              <w:t>单位：</w:t>
            </w:r>
            <w:r>
              <w:rPr>
                <w:rFonts w:ascii="Times New Roman" w:hAnsi="Times New Roman"/>
                <w:b/>
                <w:kern w:val="0"/>
                <w:sz w:val="20"/>
                <w:szCs w:val="21"/>
              </w:rPr>
              <w:t>dB</w:t>
            </w:r>
            <w:r>
              <w:rPr>
                <w:rFonts w:ascii="Times New Roman" w:hAnsi="Arial"/>
                <w:b/>
                <w:kern w:val="0"/>
                <w:sz w:val="20"/>
                <w:szCs w:val="21"/>
              </w:rPr>
              <w:t>（</w:t>
            </w:r>
            <w:r>
              <w:rPr>
                <w:rFonts w:ascii="Times New Roman" w:hAnsi="Times New Roman"/>
                <w:b/>
                <w:kern w:val="0"/>
                <w:sz w:val="20"/>
                <w:szCs w:val="21"/>
              </w:rPr>
              <w:t>A</w:t>
            </w:r>
            <w:r>
              <w:rPr>
                <w:rFonts w:ascii="Times New Roman" w:hAnsi="Arial"/>
                <w:b/>
                <w:kern w:val="0"/>
                <w:sz w:val="20"/>
                <w:szCs w:val="21"/>
              </w:rPr>
              <w:t>）</w:t>
            </w:r>
          </w:p>
          <w:tbl>
            <w:tblPr>
              <w:tblStyle w:val="33"/>
              <w:tblW w:w="46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3"/>
              <w:gridCol w:w="1440"/>
              <w:gridCol w:w="1900"/>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73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测量值与背景值之间差值</w:t>
                  </w:r>
                </w:p>
              </w:tc>
              <w:tc>
                <w:tcPr>
                  <w:tcW w:w="92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3</w:t>
                  </w:r>
                </w:p>
              </w:tc>
              <w:tc>
                <w:tcPr>
                  <w:tcW w:w="12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4~5</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73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Arial"/>
                      <w:szCs w:val="21"/>
                    </w:rPr>
                    <w:t>修正值</w:t>
                  </w:r>
                </w:p>
              </w:tc>
              <w:tc>
                <w:tcPr>
                  <w:tcW w:w="92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-3</w:t>
                  </w:r>
                </w:p>
              </w:tc>
              <w:tc>
                <w:tcPr>
                  <w:tcW w:w="12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-2</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-1</w:t>
                  </w:r>
                </w:p>
              </w:tc>
            </w:tr>
          </w:tbl>
          <w:p>
            <w:pPr>
              <w:spacing w:beforeLines="50" w:line="360" w:lineRule="auto"/>
              <w:ind w:firstLine="482" w:firstLineChars="200"/>
              <w:rPr>
                <w:rFonts w:ascii="Times New Roman" w:hAnsi="Times New Roman"/>
                <w:b/>
                <w:bCs/>
                <w:kern w:val="0"/>
                <w:sz w:val="24"/>
              </w:rPr>
            </w:pPr>
            <w:bookmarkStart w:id="14" w:name="_Toc18409"/>
            <w:r>
              <w:rPr>
                <w:rFonts w:ascii="Times New Roman" w:hAnsi="Times New Roman"/>
                <w:b/>
                <w:bCs/>
                <w:kern w:val="0"/>
                <w:sz w:val="24"/>
              </w:rPr>
              <w:t>5.2</w:t>
            </w:r>
            <w:r>
              <w:rPr>
                <w:rFonts w:ascii="Times New Roman" w:hAnsi="Arial"/>
                <w:b/>
                <w:bCs/>
                <w:kern w:val="0"/>
                <w:sz w:val="24"/>
              </w:rPr>
              <w:t>监测仪器</w:t>
            </w:r>
            <w:bookmarkEnd w:id="14"/>
          </w:p>
          <w:p>
            <w:pPr>
              <w:spacing w:line="360" w:lineRule="auto"/>
              <w:ind w:firstLine="480" w:firstLineChars="200"/>
              <w:rPr>
                <w:rFonts w:ascii="Times New Roman" w:hAnsi="Times New Roman"/>
                <w:kern w:val="0"/>
                <w:sz w:val="24"/>
              </w:rPr>
            </w:pPr>
            <w:r>
              <w:rPr>
                <w:rFonts w:ascii="Times New Roman" w:hAnsi="Arial"/>
                <w:kern w:val="0"/>
                <w:sz w:val="24"/>
              </w:rPr>
              <w:t>验收监测期间，监测仪器使用情况见表</w:t>
            </w:r>
            <w:r>
              <w:rPr>
                <w:rFonts w:ascii="Times New Roman" w:hAnsi="Times New Roman"/>
                <w:kern w:val="0"/>
                <w:sz w:val="24"/>
              </w:rPr>
              <w:t>5-5</w:t>
            </w:r>
            <w:r>
              <w:rPr>
                <w:rFonts w:ascii="Times New Roman" w:hAnsi="Arial"/>
                <w:kern w:val="0"/>
                <w:sz w:val="24"/>
              </w:rPr>
              <w:t>。</w:t>
            </w:r>
          </w:p>
          <w:p>
            <w:pPr>
              <w:pStyle w:val="13"/>
              <w:spacing w:beforeLines="20" w:line="288" w:lineRule="auto"/>
              <w:jc w:val="center"/>
              <w:rPr>
                <w:rFonts w:ascii="Times New Roman" w:hAnsi="Arial"/>
                <w:b/>
                <w:bCs/>
                <w:kern w:val="0"/>
                <w:sz w:val="20"/>
                <w:szCs w:val="21"/>
              </w:rPr>
            </w:pPr>
            <w:r>
              <w:rPr>
                <w:rFonts w:ascii="Times New Roman" w:hAnsi="Arial"/>
                <w:b/>
                <w:bCs/>
                <w:kern w:val="0"/>
                <w:sz w:val="20"/>
                <w:szCs w:val="21"/>
              </w:rPr>
              <w:t>表</w:t>
            </w:r>
            <w:r>
              <w:rPr>
                <w:rFonts w:ascii="Times New Roman" w:hAnsi="Times New Roman"/>
                <w:b/>
                <w:bCs/>
                <w:kern w:val="0"/>
                <w:sz w:val="20"/>
                <w:szCs w:val="21"/>
              </w:rPr>
              <w:t xml:space="preserve">5-5 </w:t>
            </w:r>
            <w:r>
              <w:rPr>
                <w:rFonts w:ascii="Times New Roman" w:hAnsi="Arial"/>
                <w:b/>
                <w:bCs/>
                <w:kern w:val="0"/>
                <w:sz w:val="20"/>
                <w:szCs w:val="21"/>
              </w:rPr>
              <w:t>监测仪器使用情况</w:t>
            </w:r>
          </w:p>
          <w:tbl>
            <w:tblPr>
              <w:tblStyle w:val="33"/>
              <w:tblW w:w="7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2551"/>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exact"/>
                <w:jc w:val="center"/>
              </w:trPr>
              <w:tc>
                <w:tcPr>
                  <w:tcW w:w="3303"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szCs w:val="21"/>
                    </w:rPr>
                    <w:t>检测项目</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szCs w:val="21"/>
                    </w:rPr>
                    <w:t>检测设备名称及编号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752" w:type="dxa"/>
                  <w:vMerge w:val="restart"/>
                  <w:tcBorders>
                    <w:top w:val="single" w:color="auto" w:sz="4" w:space="0"/>
                    <w:left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有组织废气</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szCs w:val="21"/>
                    </w:rPr>
                    <w:t>油烟</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大流量烟尘（气）测试仪YQ3000-D(编号：</w:t>
                  </w:r>
                  <w:r>
                    <w:rPr>
                      <w:rFonts w:ascii="Times New Roman" w:hAnsi="Times New Roman"/>
                      <w:color w:val="000000"/>
                      <w:kern w:val="0"/>
                      <w:szCs w:val="21"/>
                    </w:rPr>
                    <w:t>ZHJC01283</w:t>
                  </w:r>
                  <w:r>
                    <w:rPr>
                      <w:rFonts w:ascii="Times New Roman" w:hAnsi="Times New Roman"/>
                      <w:szCs w:val="21"/>
                    </w:rPr>
                    <w:t>）</w:t>
                  </w:r>
                </w:p>
                <w:p>
                  <w:pPr>
                    <w:jc w:val="center"/>
                    <w:textAlignment w:val="center"/>
                    <w:rPr>
                      <w:rFonts w:ascii="Times New Roman" w:hAnsi="Times New Roman"/>
                      <w:szCs w:val="21"/>
                    </w:rPr>
                  </w:pPr>
                  <w:r>
                    <w:rPr>
                      <w:rFonts w:ascii="Times New Roman" w:hAnsi="Times New Roman"/>
                      <w:szCs w:val="21"/>
                    </w:rPr>
                    <w:t>红外测油仪MAI-50G(编号：</w:t>
                  </w:r>
                  <w:r>
                    <w:rPr>
                      <w:rFonts w:ascii="Times New Roman" w:hAnsi="Times New Roman"/>
                      <w:color w:val="000000"/>
                      <w:kern w:val="0"/>
                      <w:szCs w:val="21"/>
                    </w:rPr>
                    <w:t>ZHJC01009</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szCs w:val="21"/>
                    </w:rPr>
                    <w:t>颗粒物</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大流量烟尘（气）测试仪YQ3000-D(编号：</w:t>
                  </w:r>
                  <w:r>
                    <w:rPr>
                      <w:rFonts w:ascii="Times New Roman" w:hAnsi="Times New Roman"/>
                      <w:color w:val="000000"/>
                      <w:kern w:val="0"/>
                      <w:szCs w:val="21"/>
                    </w:rPr>
                    <w:t>ZHJC01283</w:t>
                  </w:r>
                  <w:r>
                    <w:rPr>
                      <w:rFonts w:ascii="Times New Roman" w:hAnsi="Times New Roman"/>
                      <w:szCs w:val="21"/>
                    </w:rPr>
                    <w:t>）</w:t>
                  </w:r>
                </w:p>
                <w:p>
                  <w:pPr>
                    <w:jc w:val="center"/>
                    <w:textAlignment w:val="center"/>
                    <w:rPr>
                      <w:rFonts w:ascii="Times New Roman" w:hAnsi="Times New Roman"/>
                      <w:szCs w:val="21"/>
                    </w:rPr>
                  </w:pPr>
                  <w:r>
                    <w:rPr>
                      <w:rFonts w:ascii="Times New Roman" w:hAnsi="Times New Roman"/>
                      <w:szCs w:val="21"/>
                    </w:rPr>
                    <w:t>电子天平PX85ZH（编号：ZHJC01052）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szCs w:val="21"/>
                    </w:rPr>
                    <w:t>二氧化硫</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大流量烟尘（气）测试仪YQ3000-D(编号：</w:t>
                  </w:r>
                  <w:r>
                    <w:rPr>
                      <w:rFonts w:ascii="Times New Roman" w:hAnsi="Times New Roman"/>
                      <w:color w:val="000000"/>
                      <w:kern w:val="0"/>
                      <w:szCs w:val="21"/>
                    </w:rPr>
                    <w:t>ZHJC01283</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szCs w:val="21"/>
                    </w:rPr>
                    <w:t>氮氧化物</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大流量烟尘（气）测试仪YQ3000-D(编号：</w:t>
                  </w:r>
                  <w:r>
                    <w:rPr>
                      <w:rFonts w:ascii="Times New Roman" w:hAnsi="Times New Roman"/>
                      <w:color w:val="000000"/>
                      <w:kern w:val="0"/>
                      <w:szCs w:val="21"/>
                    </w:rPr>
                    <w:t>ZHJC01283</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szCs w:val="21"/>
                    </w:rPr>
                    <w:t>烟气黑度</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林格曼烟气浓度图HXL GM-1（编号：</w:t>
                  </w:r>
                  <w:r>
                    <w:rPr>
                      <w:rFonts w:ascii="Times New Roman" w:hAnsi="Times New Roman"/>
                      <w:color w:val="000000"/>
                      <w:kern w:val="0"/>
                      <w:szCs w:val="21"/>
                    </w:rPr>
                    <w:t>ZHJC01320）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restart"/>
                  <w:tcBorders>
                    <w:left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无组织废气</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szCs w:val="21"/>
                    </w:rPr>
                    <w:t>非甲烷总烃</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color w:val="000000"/>
                      <w:szCs w:val="21"/>
                    </w:rPr>
                  </w:pPr>
                  <w:r>
                    <w:rPr>
                      <w:rFonts w:ascii="Times New Roman" w:hAnsi="Times New Roman"/>
                      <w:szCs w:val="21"/>
                    </w:rPr>
                    <w:t>气相色谱仪GC1120（编号：</w:t>
                  </w:r>
                  <w:r>
                    <w:rPr>
                      <w:rFonts w:ascii="Times New Roman" w:hAnsi="Times New Roman"/>
                      <w:color w:val="000000"/>
                      <w:kern w:val="0"/>
                      <w:szCs w:val="21"/>
                    </w:rPr>
                    <w:t>ZHJC01012）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szCs w:val="21"/>
                    </w:rPr>
                    <w:t>氮氧化物</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color w:val="000000"/>
                      <w:kern w:val="0"/>
                      <w:szCs w:val="21"/>
                    </w:rPr>
                  </w:pPr>
                  <w:r>
                    <w:rPr>
                      <w:rFonts w:ascii="Times New Roman" w:hAnsi="Times New Roman"/>
                      <w:color w:val="000000"/>
                      <w:kern w:val="0"/>
                      <w:szCs w:val="21"/>
                    </w:rPr>
                    <w:t>环境空气颗粒物综合采样器ZR-3922</w:t>
                  </w:r>
                  <w:r>
                    <w:rPr>
                      <w:rFonts w:ascii="Times New Roman" w:hAnsi="Times New Roman"/>
                      <w:szCs w:val="21"/>
                    </w:rPr>
                    <w:t>（编号：</w:t>
                  </w:r>
                  <w:r>
                    <w:rPr>
                      <w:rFonts w:ascii="Times New Roman" w:hAnsi="Times New Roman"/>
                      <w:color w:val="000000"/>
                      <w:kern w:val="0"/>
                      <w:szCs w:val="21"/>
                    </w:rPr>
                    <w:t>ZHJC01309、ZHJC01310、ZHJC01311、ZHJC01312）</w:t>
                  </w:r>
                </w:p>
                <w:p>
                  <w:pPr>
                    <w:jc w:val="center"/>
                    <w:textAlignment w:val="center"/>
                    <w:rPr>
                      <w:rFonts w:ascii="Times New Roman" w:hAnsi="Times New Roman"/>
                      <w:color w:val="000000"/>
                      <w:kern w:val="0"/>
                      <w:szCs w:val="21"/>
                    </w:rPr>
                  </w:pPr>
                  <w:r>
                    <w:rPr>
                      <w:rFonts w:ascii="Times New Roman" w:hAnsi="Times New Roman"/>
                      <w:color w:val="000000"/>
                      <w:kern w:val="0"/>
                      <w:szCs w:val="21"/>
                    </w:rPr>
                    <w:t>可见分光光度计V-3000</w:t>
                  </w:r>
                  <w:r>
                    <w:rPr>
                      <w:rFonts w:ascii="Times New Roman" w:hAnsi="Times New Roman"/>
                      <w:szCs w:val="21"/>
                    </w:rPr>
                    <w:t>（编号：</w:t>
                  </w:r>
                  <w:r>
                    <w:rPr>
                      <w:rFonts w:ascii="Times New Roman" w:hAnsi="Times New Roman"/>
                      <w:color w:val="000000"/>
                      <w:kern w:val="0"/>
                      <w:szCs w:val="21"/>
                    </w:rPr>
                    <w:t>ZHJC01031）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restart"/>
                  <w:tcBorders>
                    <w:left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废水</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eastAsiaTheme="majorEastAsia"/>
                      <w:szCs w:val="21"/>
                    </w:rPr>
                    <w:t>pH值</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便携式</w:t>
                  </w:r>
                  <w:r>
                    <w:rPr>
                      <w:rFonts w:ascii="Times New Roman" w:hAnsi="Times New Roman" w:eastAsiaTheme="majorEastAsia"/>
                      <w:szCs w:val="21"/>
                    </w:rPr>
                    <w:t>pH</w:t>
                  </w:r>
                  <w:r>
                    <w:rPr>
                      <w:rFonts w:ascii="Times New Roman" w:hAnsi="Times New Roman"/>
                      <w:szCs w:val="21"/>
                    </w:rPr>
                    <w:t>计PHBJ-260(编号：</w:t>
                  </w:r>
                  <w:r>
                    <w:rPr>
                      <w:rFonts w:ascii="Times New Roman" w:hAnsi="Times New Roman"/>
                      <w:color w:val="000000"/>
                      <w:kern w:val="0"/>
                      <w:szCs w:val="21"/>
                    </w:rPr>
                    <w:t>ZHJC01308）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eastAsiaTheme="majorEastAsia"/>
                      <w:szCs w:val="21"/>
                    </w:rPr>
                    <w:t>悬浮物</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电子天平PR224ZH/E（编号：</w:t>
                  </w:r>
                  <w:r>
                    <w:rPr>
                      <w:rFonts w:ascii="Times New Roman" w:hAnsi="Times New Roman"/>
                      <w:color w:val="000000"/>
                      <w:kern w:val="0"/>
                      <w:szCs w:val="21"/>
                    </w:rPr>
                    <w:t>ZHJC01018）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eastAsiaTheme="majorEastAsia"/>
                      <w:szCs w:val="21"/>
                    </w:rPr>
                    <w:t>化学需氧量</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全自动滴定管50mL（编号：</w:t>
                  </w:r>
                  <w:r>
                    <w:rPr>
                      <w:rFonts w:ascii="Times New Roman" w:hAnsi="Times New Roman"/>
                      <w:color w:val="000000"/>
                      <w:kern w:val="0"/>
                      <w:szCs w:val="21"/>
                    </w:rPr>
                    <w:t>ZHJC01100）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ajorEastAsia"/>
                      <w:szCs w:val="21"/>
                    </w:rPr>
                  </w:pPr>
                  <w:r>
                    <w:rPr>
                      <w:rFonts w:ascii="Times New Roman" w:hAnsi="Times New Roman" w:eastAsiaTheme="majorEastAsia"/>
                      <w:szCs w:val="21"/>
                    </w:rPr>
                    <w:t>氨氮</w:t>
                  </w:r>
                </w:p>
              </w:tc>
              <w:tc>
                <w:tcPr>
                  <w:tcW w:w="45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szCs w:val="21"/>
                    </w:rPr>
                    <w:t>紫外可见分光光度计UV-3500(编号：</w:t>
                  </w:r>
                  <w:r>
                    <w:rPr>
                      <w:rFonts w:ascii="Times New Roman" w:hAnsi="Times New Roman"/>
                      <w:color w:val="000000"/>
                      <w:kern w:val="0"/>
                      <w:szCs w:val="21"/>
                    </w:rPr>
                    <w:t>ZHJC01010）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动植物油类</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ajorEastAsia"/>
                      <w:szCs w:val="21"/>
                    </w:rPr>
                  </w:pPr>
                  <w:r>
                    <w:rPr>
                      <w:rFonts w:ascii="Times New Roman" w:hAnsi="Times New Roman"/>
                      <w:szCs w:val="21"/>
                    </w:rPr>
                    <w:t>红外测油仪MAI-50G(编号：</w:t>
                  </w:r>
                  <w:r>
                    <w:rPr>
                      <w:rFonts w:ascii="Times New Roman" w:hAnsi="Times New Roman"/>
                      <w:color w:val="000000"/>
                      <w:kern w:val="0"/>
                      <w:szCs w:val="21"/>
                    </w:rPr>
                    <w:t>ZHJC01009</w:t>
                  </w: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continue"/>
                  <w:tcBorders>
                    <w:left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总磷</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可见分光光度计V-3000（编号：</w:t>
                  </w:r>
                  <w:r>
                    <w:rPr>
                      <w:rFonts w:ascii="Times New Roman" w:hAnsi="Times New Roman"/>
                      <w:color w:val="000000"/>
                      <w:szCs w:val="21"/>
                    </w:rPr>
                    <w:t>ZHJC01031）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restart"/>
                  <w:tcBorders>
                    <w:left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szCs w:val="21"/>
                    </w:rPr>
                    <w:t>噪声</w:t>
                  </w: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r>
                    <w:rPr>
                      <w:rFonts w:ascii="Times New Roman" w:hAnsi="Times New Roman"/>
                      <w:color w:val="000000"/>
                      <w:kern w:val="0"/>
                      <w:szCs w:val="21"/>
                    </w:rPr>
                    <w:t>工业企业厂界环境噪声</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宋体"/>
                      <w:szCs w:val="21"/>
                    </w:rPr>
                    <w:t>多功能声级计</w:t>
                  </w:r>
                  <w:r>
                    <w:rPr>
                      <w:rFonts w:ascii="Times New Roman" w:hAnsi="Times New Roman"/>
                      <w:szCs w:val="21"/>
                    </w:rPr>
                    <w:t>AWA6228+(</w:t>
                  </w:r>
                  <w:r>
                    <w:rPr>
                      <w:rFonts w:ascii="Times New Roman" w:hAnsi="宋体"/>
                      <w:szCs w:val="21"/>
                    </w:rPr>
                    <w:t>编号：</w:t>
                  </w:r>
                  <w:r>
                    <w:rPr>
                      <w:rFonts w:ascii="Times New Roman" w:hAnsi="Times New Roman"/>
                      <w:color w:val="000000"/>
                      <w:kern w:val="0"/>
                      <w:szCs w:val="21"/>
                    </w:rPr>
                    <w:t>ZHJC01048</w:t>
                  </w:r>
                  <w:r>
                    <w:rPr>
                      <w:rFonts w:ascii="Times New Roman"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752" w:type="dxa"/>
                  <w:vMerge w:val="continue"/>
                  <w:tcBorders>
                    <w:left w:val="single" w:color="auto" w:sz="4" w:space="0"/>
                    <w:bottom w:val="single" w:color="auto" w:sz="4" w:space="0"/>
                    <w:right w:val="single" w:color="auto" w:sz="4" w:space="0"/>
                  </w:tcBorders>
                  <w:vAlign w:val="center"/>
                </w:tcPr>
                <w:p>
                  <w:pPr>
                    <w:jc w:val="center"/>
                    <w:textAlignment w:val="center"/>
                    <w:rPr>
                      <w:rFonts w:ascii="Times New Roman" w:hAnsi="Times New Roman"/>
                      <w:szCs w:val="21"/>
                    </w:rPr>
                  </w:pPr>
                </w:p>
              </w:tc>
              <w:tc>
                <w:tcPr>
                  <w:tcW w:w="25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color w:val="000000"/>
                      <w:kern w:val="0"/>
                      <w:szCs w:val="21"/>
                    </w:rPr>
                  </w:pPr>
                  <w:r>
                    <w:rPr>
                      <w:rFonts w:ascii="Times New Roman" w:hAnsi="Times New Roman"/>
                      <w:color w:val="000000"/>
                      <w:kern w:val="0"/>
                      <w:szCs w:val="21"/>
                    </w:rPr>
                    <w:t>区域环境噪声</w:t>
                  </w:r>
                </w:p>
              </w:tc>
              <w:tc>
                <w:tcPr>
                  <w:tcW w:w="45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宋体"/>
                      <w:szCs w:val="21"/>
                    </w:rPr>
                    <w:t>声级校准器</w:t>
                  </w:r>
                  <w:r>
                    <w:rPr>
                      <w:rFonts w:ascii="Times New Roman" w:hAnsi="Times New Roman"/>
                      <w:szCs w:val="21"/>
                    </w:rPr>
                    <w:t>AWA6021</w:t>
                  </w:r>
                  <w:r>
                    <w:rPr>
                      <w:rFonts w:ascii="Times New Roman" w:hAnsi="宋体"/>
                      <w:szCs w:val="21"/>
                    </w:rPr>
                    <w:t>（编号：</w:t>
                  </w:r>
                  <w:r>
                    <w:rPr>
                      <w:rFonts w:ascii="Times New Roman" w:hAnsi="Times New Roman"/>
                      <w:color w:val="000000"/>
                      <w:kern w:val="0"/>
                      <w:szCs w:val="21"/>
                    </w:rPr>
                    <w:t>ZHJC01253</w:t>
                  </w:r>
                  <w:r>
                    <w:rPr>
                      <w:rFonts w:ascii="Times New Roman" w:hAnsi="宋体"/>
                      <w:szCs w:val="21"/>
                    </w:rPr>
                    <w:t>）</w:t>
                  </w:r>
                </w:p>
              </w:tc>
            </w:tr>
          </w:tbl>
          <w:p>
            <w:pPr>
              <w:spacing w:line="360" w:lineRule="auto"/>
              <w:ind w:firstLine="482" w:firstLineChars="200"/>
              <w:rPr>
                <w:rFonts w:ascii="Times New Roman" w:hAnsi="Times New Roman"/>
                <w:b/>
                <w:bCs/>
                <w:kern w:val="0"/>
                <w:sz w:val="24"/>
              </w:rPr>
            </w:pPr>
            <w:r>
              <w:rPr>
                <w:rFonts w:ascii="Times New Roman" w:hAnsi="Times New Roman"/>
                <w:b/>
                <w:bCs/>
                <w:kern w:val="0"/>
                <w:sz w:val="24"/>
              </w:rPr>
              <w:t>5.3</w:t>
            </w:r>
            <w:r>
              <w:rPr>
                <w:rFonts w:ascii="Times New Roman" w:hAnsi="Arial"/>
                <w:b/>
                <w:bCs/>
                <w:kern w:val="0"/>
                <w:sz w:val="24"/>
              </w:rPr>
              <w:t>人员资质</w:t>
            </w:r>
          </w:p>
          <w:p>
            <w:pPr>
              <w:spacing w:line="360" w:lineRule="auto"/>
              <w:ind w:firstLine="480" w:firstLineChars="200"/>
              <w:rPr>
                <w:rFonts w:ascii="Times New Roman" w:hAnsi="Times New Roman"/>
                <w:kern w:val="0"/>
                <w:sz w:val="24"/>
              </w:rPr>
            </w:pPr>
            <w:r>
              <w:rPr>
                <w:rFonts w:ascii="Times New Roman" w:hAnsi="Arial"/>
                <w:kern w:val="0"/>
                <w:sz w:val="24"/>
              </w:rPr>
              <w:t>验收监测采样和分析人员均通过岗前培训，考核合格，持证上岗。</w:t>
            </w:r>
          </w:p>
          <w:p>
            <w:pPr>
              <w:spacing w:line="360" w:lineRule="auto"/>
              <w:ind w:firstLine="482" w:firstLineChars="200"/>
              <w:rPr>
                <w:rFonts w:ascii="Times New Roman" w:hAnsi="Times New Roman"/>
                <w:b/>
                <w:bCs/>
                <w:kern w:val="0"/>
                <w:sz w:val="24"/>
              </w:rPr>
            </w:pPr>
            <w:bookmarkStart w:id="15" w:name="_Toc30593"/>
            <w:bookmarkStart w:id="16" w:name="_Toc21648"/>
            <w:bookmarkStart w:id="17" w:name="_Toc24677"/>
            <w:bookmarkStart w:id="18" w:name="_Toc28964"/>
            <w:bookmarkStart w:id="19" w:name="_Toc18366"/>
            <w:bookmarkStart w:id="20" w:name="_Toc3135"/>
            <w:r>
              <w:rPr>
                <w:rFonts w:ascii="Times New Roman" w:hAnsi="Times New Roman"/>
                <w:b/>
                <w:bCs/>
                <w:kern w:val="0"/>
                <w:sz w:val="24"/>
              </w:rPr>
              <w:t>5.4</w:t>
            </w:r>
            <w:bookmarkEnd w:id="15"/>
            <w:bookmarkEnd w:id="16"/>
            <w:bookmarkEnd w:id="17"/>
            <w:r>
              <w:rPr>
                <w:rFonts w:ascii="Times New Roman" w:hAnsi="Arial"/>
                <w:b/>
                <w:bCs/>
                <w:kern w:val="0"/>
                <w:sz w:val="24"/>
              </w:rPr>
              <w:t>水质监测分析过程中的质量保证和质量控制</w:t>
            </w:r>
            <w:bookmarkEnd w:id="18"/>
            <w:bookmarkEnd w:id="19"/>
            <w:bookmarkEnd w:id="20"/>
          </w:p>
          <w:p>
            <w:pPr>
              <w:spacing w:line="360" w:lineRule="auto"/>
              <w:ind w:firstLine="480" w:firstLineChars="200"/>
              <w:rPr>
                <w:rFonts w:ascii="Times New Roman" w:hAnsi="Times New Roman"/>
                <w:kern w:val="0"/>
                <w:sz w:val="24"/>
              </w:rPr>
            </w:pPr>
            <w:r>
              <w:rPr>
                <w:rFonts w:ascii="Times New Roman" w:hAnsi="Arial"/>
                <w:kern w:val="0"/>
                <w:sz w:val="24"/>
              </w:rPr>
              <w:t>验收监测单位废水监测仪器符合国家有关标准或技术要求，仪器经计量部门检定合格，并在检定有效期内使用。采样、运输、保存、分析全过程严格按照《污水监测技术规范》（</w:t>
            </w:r>
            <w:r>
              <w:rPr>
                <w:rFonts w:ascii="Times New Roman" w:hAnsi="Times New Roman"/>
                <w:kern w:val="0"/>
                <w:sz w:val="24"/>
              </w:rPr>
              <w:t>HJ 91.1-2019</w:t>
            </w:r>
            <w:r>
              <w:rPr>
                <w:rFonts w:ascii="Times New Roman" w:hAnsi="Arial"/>
                <w:kern w:val="0"/>
                <w:sz w:val="24"/>
              </w:rPr>
              <w:t>）、《水质采样样品的保存和管理技术规定》（</w:t>
            </w:r>
            <w:r>
              <w:rPr>
                <w:rFonts w:ascii="Times New Roman" w:hAnsi="Times New Roman"/>
                <w:kern w:val="0"/>
                <w:sz w:val="24"/>
              </w:rPr>
              <w:t>HJ 493-2009</w:t>
            </w:r>
            <w:r>
              <w:rPr>
                <w:rFonts w:ascii="Times New Roman" w:hAnsi="Arial"/>
                <w:kern w:val="0"/>
                <w:sz w:val="24"/>
              </w:rPr>
              <w:t>）、《水质采样技术指导》（</w:t>
            </w:r>
            <w:r>
              <w:rPr>
                <w:rFonts w:ascii="Times New Roman" w:hAnsi="Times New Roman"/>
                <w:kern w:val="0"/>
                <w:sz w:val="24"/>
              </w:rPr>
              <w:t>HJ 494-2009</w:t>
            </w:r>
            <w:r>
              <w:rPr>
                <w:rFonts w:ascii="Times New Roman" w:hAnsi="Arial"/>
                <w:kern w:val="0"/>
                <w:sz w:val="24"/>
              </w:rPr>
              <w:t>）、《水质采样方案设计技术指导》（</w:t>
            </w:r>
            <w:r>
              <w:rPr>
                <w:rFonts w:ascii="Times New Roman" w:hAnsi="Times New Roman"/>
                <w:kern w:val="0"/>
                <w:sz w:val="24"/>
              </w:rPr>
              <w:t>HJ 495-2009</w:t>
            </w:r>
            <w:r>
              <w:rPr>
                <w:rFonts w:ascii="Times New Roman" w:hAnsi="Arial"/>
                <w:kern w:val="0"/>
                <w:sz w:val="24"/>
              </w:rPr>
              <w:t>）规定执行。每批样品除色度、臭、浊度、</w:t>
            </w:r>
            <w:r>
              <w:rPr>
                <w:rFonts w:ascii="Times New Roman" w:hAnsi="Times New Roman"/>
                <w:kern w:val="0"/>
                <w:sz w:val="24"/>
              </w:rPr>
              <w:t>pH</w:t>
            </w:r>
            <w:r>
              <w:rPr>
                <w:rFonts w:ascii="Times New Roman" w:hAnsi="Arial"/>
                <w:kern w:val="0"/>
                <w:sz w:val="24"/>
              </w:rPr>
              <w:t>值、透明度、悬浮物、电导率、溶解氧、溶解性总固体外，其余项目均需加采全程序空白样。每批样品除悬浮物、溶解性总固体、油样品（加采</w:t>
            </w:r>
            <w:r>
              <w:rPr>
                <w:rFonts w:ascii="Times New Roman" w:hAnsi="Times New Roman"/>
                <w:kern w:val="0"/>
                <w:sz w:val="24"/>
              </w:rPr>
              <w:t>1</w:t>
            </w:r>
            <w:r>
              <w:rPr>
                <w:rFonts w:ascii="Times New Roman" w:hAnsi="Arial"/>
                <w:kern w:val="0"/>
                <w:sz w:val="24"/>
              </w:rPr>
              <w:t>次）外，其余每个项目加采不少于</w:t>
            </w:r>
            <w:r>
              <w:rPr>
                <w:rFonts w:ascii="Times New Roman" w:hAnsi="Times New Roman"/>
                <w:kern w:val="0"/>
                <w:sz w:val="24"/>
              </w:rPr>
              <w:t>10%</w:t>
            </w:r>
            <w:r>
              <w:rPr>
                <w:rFonts w:ascii="Times New Roman" w:hAnsi="Arial"/>
                <w:kern w:val="0"/>
                <w:sz w:val="24"/>
              </w:rPr>
              <w:t>的现场平行样，不足</w:t>
            </w:r>
            <w:r>
              <w:rPr>
                <w:rFonts w:ascii="Times New Roman" w:hAnsi="Times New Roman"/>
                <w:kern w:val="0"/>
                <w:sz w:val="24"/>
              </w:rPr>
              <w:t>10</w:t>
            </w:r>
            <w:r>
              <w:rPr>
                <w:rFonts w:ascii="Times New Roman" w:hAnsi="Arial"/>
                <w:kern w:val="0"/>
                <w:sz w:val="24"/>
              </w:rPr>
              <w:t>个样品至少要加采一个平行样。</w:t>
            </w:r>
          </w:p>
          <w:p>
            <w:pPr>
              <w:spacing w:line="360" w:lineRule="auto"/>
              <w:ind w:firstLine="482" w:firstLineChars="200"/>
              <w:rPr>
                <w:rFonts w:ascii="Times New Roman" w:hAnsi="Times New Roman"/>
                <w:b/>
                <w:bCs/>
                <w:kern w:val="0"/>
                <w:sz w:val="24"/>
              </w:rPr>
            </w:pPr>
            <w:bookmarkStart w:id="21" w:name="_Toc7534"/>
            <w:bookmarkStart w:id="22" w:name="_Toc24143"/>
            <w:bookmarkStart w:id="23" w:name="_Toc30279"/>
            <w:r>
              <w:rPr>
                <w:rFonts w:ascii="Times New Roman" w:hAnsi="Times New Roman"/>
                <w:b/>
                <w:bCs/>
                <w:kern w:val="0"/>
                <w:sz w:val="24"/>
              </w:rPr>
              <w:t>5.5</w:t>
            </w:r>
            <w:r>
              <w:rPr>
                <w:rFonts w:ascii="Times New Roman" w:hAnsi="Arial"/>
                <w:b/>
                <w:bCs/>
                <w:kern w:val="0"/>
                <w:sz w:val="24"/>
              </w:rPr>
              <w:t>气体监测分析过程中的质量保证和质量控制</w:t>
            </w:r>
            <w:bookmarkEnd w:id="21"/>
            <w:bookmarkEnd w:id="22"/>
            <w:bookmarkEnd w:id="23"/>
          </w:p>
          <w:p>
            <w:pPr>
              <w:spacing w:line="360" w:lineRule="auto"/>
              <w:ind w:firstLine="480" w:firstLineChars="200"/>
              <w:rPr>
                <w:rFonts w:ascii="Times New Roman" w:hAnsi="Times New Roman"/>
                <w:kern w:val="0"/>
                <w:sz w:val="24"/>
              </w:rPr>
            </w:pPr>
            <w:r>
              <w:rPr>
                <w:rFonts w:ascii="Times New Roman" w:hAnsi="Arial"/>
                <w:kern w:val="0"/>
                <w:sz w:val="24"/>
              </w:rPr>
              <w:t>验收监测单位废气监测仪器均符合国家有关标准或技术要求，仪器经计量部门检定合格，并在检定有效期内使用，监测前对使用的仪器均进行浓度和流量校准，按规定对废气测试仪进行现场检漏，采样和分析过程严格按照《固定污染源排气中颗粒物测定与气态污染物采样方法》（</w:t>
            </w:r>
            <w:r>
              <w:rPr>
                <w:rFonts w:ascii="Times New Roman" w:hAnsi="Times New Roman"/>
                <w:kern w:val="0"/>
                <w:sz w:val="24"/>
              </w:rPr>
              <w:t>GB/T 16157-1996</w:t>
            </w:r>
            <w:r>
              <w:rPr>
                <w:rFonts w:ascii="Times New Roman" w:hAnsi="Arial"/>
                <w:kern w:val="0"/>
                <w:sz w:val="24"/>
              </w:rPr>
              <w:t>）、《固定污染源监测质量保证与质量控制技术规范（试行）》（</w:t>
            </w:r>
            <w:r>
              <w:rPr>
                <w:rFonts w:ascii="Times New Roman" w:hAnsi="Times New Roman"/>
                <w:kern w:val="0"/>
                <w:sz w:val="24"/>
              </w:rPr>
              <w:t>HJ/T 373-2007</w:t>
            </w:r>
            <w:r>
              <w:rPr>
                <w:rFonts w:ascii="Times New Roman" w:hAnsi="Arial"/>
                <w:kern w:val="0"/>
                <w:sz w:val="24"/>
              </w:rPr>
              <w:t>）和《固定源废气监测技术规范》（</w:t>
            </w:r>
            <w:r>
              <w:rPr>
                <w:rFonts w:ascii="Times New Roman" w:hAnsi="Times New Roman"/>
                <w:kern w:val="0"/>
                <w:sz w:val="24"/>
              </w:rPr>
              <w:t>HJ/T 397-2007</w:t>
            </w:r>
            <w:r>
              <w:rPr>
                <w:rFonts w:ascii="Times New Roman" w:hAnsi="Arial"/>
                <w:kern w:val="0"/>
                <w:sz w:val="24"/>
              </w:rPr>
              <w:t>）执行。</w:t>
            </w:r>
          </w:p>
          <w:p>
            <w:pPr>
              <w:spacing w:line="360" w:lineRule="auto"/>
              <w:ind w:firstLine="480" w:firstLineChars="200"/>
              <w:rPr>
                <w:rFonts w:ascii="Times New Roman" w:hAnsi="Times New Roman"/>
                <w:kern w:val="0"/>
                <w:sz w:val="24"/>
              </w:rPr>
            </w:pPr>
            <w:r>
              <w:rPr>
                <w:rFonts w:ascii="Times New Roman" w:hAnsi="Arial"/>
                <w:kern w:val="0"/>
                <w:sz w:val="24"/>
              </w:rPr>
              <w:t>用吸收液、吸附管、滤膜</w:t>
            </w:r>
            <w:r>
              <w:rPr>
                <w:rFonts w:ascii="Times New Roman" w:hAnsi="Times New Roman"/>
                <w:kern w:val="0"/>
                <w:sz w:val="24"/>
              </w:rPr>
              <w:t>/</w:t>
            </w:r>
            <w:r>
              <w:rPr>
                <w:rFonts w:ascii="Times New Roman" w:hAnsi="Arial"/>
                <w:kern w:val="0"/>
                <w:sz w:val="24"/>
              </w:rPr>
              <w:t>滤筒采样的项目，在进行现场采样时，每批至少留一个采样管不采样，其它与样品管一样对待，作为全程序空白样。凡能采集平行样的项目，每批采集不少于</w:t>
            </w:r>
            <w:r>
              <w:rPr>
                <w:rFonts w:ascii="Times New Roman" w:hAnsi="Times New Roman"/>
                <w:kern w:val="0"/>
                <w:sz w:val="24"/>
              </w:rPr>
              <w:t>10%</w:t>
            </w:r>
            <w:r>
              <w:rPr>
                <w:rFonts w:ascii="Times New Roman" w:hAnsi="Arial"/>
                <w:kern w:val="0"/>
                <w:sz w:val="24"/>
              </w:rPr>
              <w:t>的现场平行样。测定值之差与平均值比较的相对偏差不得超过</w:t>
            </w:r>
            <w:r>
              <w:rPr>
                <w:rFonts w:ascii="Times New Roman" w:hAnsi="Times New Roman"/>
                <w:kern w:val="0"/>
                <w:sz w:val="24"/>
              </w:rPr>
              <w:t>20%</w:t>
            </w:r>
            <w:r>
              <w:rPr>
                <w:rFonts w:ascii="Times New Roman" w:hAnsi="Arial"/>
                <w:kern w:val="0"/>
                <w:sz w:val="24"/>
              </w:rPr>
              <w:t>。</w:t>
            </w:r>
          </w:p>
          <w:p>
            <w:pPr>
              <w:spacing w:line="360" w:lineRule="auto"/>
              <w:ind w:firstLine="482" w:firstLineChars="200"/>
              <w:rPr>
                <w:rFonts w:ascii="Times New Roman" w:hAnsi="Times New Roman"/>
                <w:b/>
                <w:bCs/>
                <w:kern w:val="0"/>
                <w:sz w:val="24"/>
              </w:rPr>
            </w:pPr>
            <w:bookmarkStart w:id="24" w:name="_Toc3518"/>
            <w:bookmarkStart w:id="25" w:name="_Toc2149"/>
            <w:bookmarkStart w:id="26" w:name="_Toc144"/>
            <w:bookmarkStart w:id="27" w:name="_Toc24634"/>
            <w:r>
              <w:rPr>
                <w:rFonts w:ascii="Times New Roman" w:hAnsi="Times New Roman"/>
                <w:b/>
                <w:bCs/>
                <w:kern w:val="0"/>
                <w:sz w:val="24"/>
              </w:rPr>
              <w:t>5.6</w:t>
            </w:r>
            <w:r>
              <w:rPr>
                <w:rFonts w:ascii="Times New Roman" w:hAnsi="Arial"/>
                <w:b/>
                <w:bCs/>
                <w:kern w:val="0"/>
                <w:sz w:val="24"/>
              </w:rPr>
              <w:t>噪声监测分析过程中的质量保证和质量控制</w:t>
            </w:r>
            <w:bookmarkEnd w:id="24"/>
            <w:bookmarkEnd w:id="25"/>
            <w:bookmarkEnd w:id="26"/>
            <w:bookmarkEnd w:id="27"/>
          </w:p>
          <w:p>
            <w:pPr>
              <w:spacing w:line="360" w:lineRule="auto"/>
              <w:ind w:firstLine="480" w:firstLineChars="200"/>
              <w:rPr>
                <w:rFonts w:ascii="Times New Roman" w:hAnsi="Times New Roman"/>
                <w:kern w:val="0"/>
                <w:sz w:val="24"/>
              </w:rPr>
            </w:pPr>
            <w:r>
              <w:rPr>
                <w:rFonts w:ascii="Times New Roman" w:hAnsi="Arial"/>
                <w:kern w:val="0"/>
                <w:sz w:val="24"/>
              </w:rPr>
              <w:t>验收监测单位噪声监测仪器和校准仪器应经计量部门检定合格，并在检定有效期内使用，仪器使用前后必须在现场进行声学校准，其前后校准的测量仪器示值偏差不得大于</w:t>
            </w:r>
            <w:r>
              <w:rPr>
                <w:rFonts w:ascii="Times New Roman" w:hAnsi="Times New Roman"/>
                <w:kern w:val="0"/>
                <w:sz w:val="24"/>
              </w:rPr>
              <w:t>0.5dB</w:t>
            </w:r>
            <w:r>
              <w:rPr>
                <w:rFonts w:ascii="Times New Roman" w:hAnsi="Arial"/>
                <w:kern w:val="0"/>
                <w:sz w:val="24"/>
              </w:rPr>
              <w:t>（</w:t>
            </w:r>
            <w:r>
              <w:rPr>
                <w:rFonts w:ascii="Times New Roman" w:hAnsi="Times New Roman"/>
                <w:kern w:val="0"/>
                <w:sz w:val="24"/>
              </w:rPr>
              <w:t>A</w:t>
            </w:r>
            <w:r>
              <w:rPr>
                <w:rFonts w:ascii="Times New Roman" w:hAnsi="Arial"/>
                <w:kern w:val="0"/>
                <w:sz w:val="24"/>
              </w:rPr>
              <w:t>）。</w:t>
            </w:r>
          </w:p>
          <w:p>
            <w:pPr>
              <w:pStyle w:val="14"/>
              <w:ind w:left="480" w:leftChars="0"/>
            </w:pPr>
          </w:p>
        </w:tc>
      </w:tr>
    </w:tbl>
    <w:p>
      <w:pPr>
        <w:sectPr>
          <w:pgSz w:w="11906" w:h="16838"/>
          <w:pgMar w:top="1440" w:right="1800" w:bottom="1440" w:left="1800" w:header="851" w:footer="992" w:gutter="0"/>
          <w:cols w:space="425" w:num="1"/>
          <w:docGrid w:type="lines" w:linePitch="312" w:charSpace="0"/>
        </w:sectPr>
      </w:pPr>
    </w:p>
    <w:p>
      <w:pPr>
        <w:pStyle w:val="3"/>
        <w:rPr>
          <w:rFonts w:ascii="Arial" w:hAnsi="Arial" w:cs="Arial"/>
        </w:rPr>
      </w:pPr>
      <w:bookmarkStart w:id="28" w:name="_Toc30778"/>
      <w:r>
        <w:rPr>
          <w:rFonts w:hint="eastAsia" w:ascii="Arial" w:hAnsi="Arial" w:cs="Arial"/>
        </w:rPr>
        <w:t>表六验收监测内容</w:t>
      </w:r>
      <w:bookmarkEnd w:id="28"/>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Borders>
              <w:top w:val="single" w:color="auto" w:sz="4" w:space="0"/>
              <w:left w:val="single" w:color="auto" w:sz="4" w:space="0"/>
              <w:bottom w:val="single" w:color="auto" w:sz="4" w:space="0"/>
              <w:right w:val="single" w:color="auto" w:sz="4" w:space="0"/>
            </w:tcBorders>
          </w:tcPr>
          <w:p>
            <w:pPr>
              <w:spacing w:line="360" w:lineRule="auto"/>
              <w:ind w:firstLine="482" w:firstLineChars="200"/>
              <w:rPr>
                <w:rFonts w:ascii="Times New Roman" w:hAnsi="Times New Roman"/>
                <w:b/>
                <w:bCs/>
                <w:kern w:val="0"/>
                <w:sz w:val="24"/>
              </w:rPr>
            </w:pPr>
            <w:r>
              <w:rPr>
                <w:rFonts w:ascii="Times New Roman" w:hAnsi="Times New Roman"/>
                <w:b/>
                <w:bCs/>
                <w:kern w:val="0"/>
                <w:sz w:val="24"/>
              </w:rPr>
              <w:t>6.1</w:t>
            </w:r>
            <w:r>
              <w:rPr>
                <w:rFonts w:ascii="Times New Roman" w:hAnsi="Arial"/>
                <w:b/>
                <w:bCs/>
                <w:kern w:val="0"/>
                <w:sz w:val="24"/>
              </w:rPr>
              <w:t>废水监测</w:t>
            </w:r>
          </w:p>
          <w:p>
            <w:pPr>
              <w:widowControl/>
              <w:spacing w:line="360" w:lineRule="auto"/>
              <w:ind w:firstLine="480" w:firstLineChars="200"/>
              <w:rPr>
                <w:rFonts w:ascii="Times New Roman" w:hAnsi="Times New Roman"/>
                <w:kern w:val="0"/>
                <w:sz w:val="24"/>
              </w:rPr>
            </w:pPr>
            <w:r>
              <w:rPr>
                <w:rFonts w:ascii="Times New Roman" w:hAnsi="Arial"/>
                <w:kern w:val="0"/>
                <w:sz w:val="24"/>
              </w:rPr>
              <w:t>根据验收期间的现场调查，</w:t>
            </w:r>
            <w:r>
              <w:rPr>
                <w:rFonts w:ascii="Times New Roman" w:hAnsi="Times New Roman"/>
                <w:bCs/>
                <w:kern w:val="0"/>
                <w:sz w:val="24"/>
              </w:rPr>
              <w:t>项目食堂厨房含油废水经隔油除渣等预处理、冲厕废水经化粪池预处理、实验室废水经中和池处理后纳入城市污水管网；游泳池废水平均每个月排放一次，废水需先经过滤除去毛发等杂质，再沉淀去除SS后，与经化粪池预处理后的其它生活污水一道接入污水管网后送临平净水厂处理</w:t>
            </w:r>
            <w:r>
              <w:rPr>
                <w:rFonts w:ascii="Times New Roman" w:hAnsi="Arial"/>
                <w:kern w:val="0"/>
                <w:sz w:val="24"/>
              </w:rPr>
              <w:t>，项目废水检测内容及频次见表</w:t>
            </w:r>
            <w:r>
              <w:rPr>
                <w:rFonts w:ascii="Times New Roman" w:hAnsi="Times New Roman"/>
                <w:kern w:val="0"/>
                <w:sz w:val="24"/>
              </w:rPr>
              <w:t>6-1</w:t>
            </w:r>
            <w:r>
              <w:rPr>
                <w:rFonts w:ascii="Times New Roman" w:hAnsi="Arial"/>
                <w:kern w:val="0"/>
                <w:sz w:val="24"/>
              </w:rPr>
              <w:t>。</w:t>
            </w:r>
          </w:p>
          <w:p>
            <w:pPr>
              <w:pStyle w:val="80"/>
              <w:rPr>
                <w:rFonts w:hAnsi="Times New Roman"/>
                <w:sz w:val="20"/>
              </w:rPr>
            </w:pPr>
            <w:r>
              <w:rPr>
                <w:sz w:val="20"/>
              </w:rPr>
              <w:t>表</w:t>
            </w:r>
            <w:r>
              <w:rPr>
                <w:rFonts w:hAnsi="Times New Roman"/>
                <w:sz w:val="20"/>
              </w:rPr>
              <w:t xml:space="preserve">6-1 </w:t>
            </w:r>
            <w:r>
              <w:rPr>
                <w:sz w:val="20"/>
              </w:rPr>
              <w:t>废水监测内容一览表</w:t>
            </w:r>
          </w:p>
          <w:tbl>
            <w:tblPr>
              <w:tblStyle w:val="1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4744"/>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tcPr>
                <w:p>
                  <w:pPr>
                    <w:pStyle w:val="81"/>
                    <w:rPr>
                      <w:rFonts w:cs="Times New Roman"/>
                      <w:kern w:val="0"/>
                      <w:sz w:val="20"/>
                      <w:szCs w:val="21"/>
                    </w:rPr>
                  </w:pPr>
                  <w:r>
                    <w:rPr>
                      <w:rFonts w:hAnsi="Arial" w:cs="Times New Roman"/>
                      <w:kern w:val="0"/>
                      <w:sz w:val="20"/>
                      <w:szCs w:val="21"/>
                    </w:rPr>
                    <w:t>监测点位</w:t>
                  </w:r>
                </w:p>
              </w:tc>
              <w:tc>
                <w:tcPr>
                  <w:tcW w:w="2859" w:type="pct"/>
                  <w:tcBorders>
                    <w:top w:val="single" w:color="auto" w:sz="4" w:space="0"/>
                    <w:left w:val="single" w:color="auto" w:sz="4" w:space="0"/>
                    <w:bottom w:val="single" w:color="auto" w:sz="4" w:space="0"/>
                    <w:right w:val="single" w:color="auto" w:sz="4" w:space="0"/>
                  </w:tcBorders>
                </w:tcPr>
                <w:p>
                  <w:pPr>
                    <w:pStyle w:val="81"/>
                    <w:rPr>
                      <w:rFonts w:cs="Times New Roman"/>
                      <w:kern w:val="0"/>
                      <w:sz w:val="20"/>
                      <w:szCs w:val="21"/>
                    </w:rPr>
                  </w:pPr>
                  <w:r>
                    <w:rPr>
                      <w:rFonts w:hAnsi="Arial" w:cs="Times New Roman"/>
                      <w:kern w:val="0"/>
                      <w:sz w:val="20"/>
                      <w:szCs w:val="21"/>
                    </w:rPr>
                    <w:t>监测项目</w:t>
                  </w:r>
                </w:p>
              </w:tc>
              <w:tc>
                <w:tcPr>
                  <w:tcW w:w="984" w:type="pct"/>
                  <w:tcBorders>
                    <w:top w:val="single" w:color="auto" w:sz="4" w:space="0"/>
                    <w:left w:val="single" w:color="auto" w:sz="4" w:space="0"/>
                    <w:bottom w:val="single" w:color="auto" w:sz="4" w:space="0"/>
                    <w:right w:val="single" w:color="auto" w:sz="4" w:space="0"/>
                  </w:tcBorders>
                </w:tcPr>
                <w:p>
                  <w:pPr>
                    <w:pStyle w:val="81"/>
                    <w:rPr>
                      <w:rFonts w:cs="Times New Roman"/>
                      <w:kern w:val="0"/>
                      <w:sz w:val="20"/>
                      <w:szCs w:val="21"/>
                    </w:rPr>
                  </w:pPr>
                  <w:r>
                    <w:rPr>
                      <w:rFonts w:hAnsi="Arial" w:cs="Times New Roman"/>
                      <w:kern w:val="0"/>
                      <w:sz w:val="2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hAnsi="Arial" w:cs="Times New Roman"/>
                      <w:kern w:val="0"/>
                      <w:sz w:val="20"/>
                      <w:szCs w:val="21"/>
                    </w:rPr>
                    <w:t>污水总排口</w:t>
                  </w:r>
                </w:p>
              </w:tc>
              <w:tc>
                <w:tcPr>
                  <w:tcW w:w="2859"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cs="Times New Roman"/>
                      <w:kern w:val="0"/>
                      <w:sz w:val="20"/>
                      <w:szCs w:val="21"/>
                    </w:rPr>
                    <w:t>pH</w:t>
                  </w:r>
                  <w:r>
                    <w:rPr>
                      <w:rFonts w:hAnsi="Arial" w:cs="Times New Roman"/>
                      <w:kern w:val="0"/>
                      <w:sz w:val="20"/>
                      <w:szCs w:val="21"/>
                    </w:rPr>
                    <w:t>值、</w:t>
                  </w:r>
                  <w:r>
                    <w:rPr>
                      <w:rFonts w:cs="Times New Roman"/>
                      <w:kern w:val="0"/>
                      <w:sz w:val="20"/>
                      <w:szCs w:val="21"/>
                    </w:rPr>
                    <w:t>TP</w:t>
                  </w:r>
                  <w:r>
                    <w:rPr>
                      <w:rFonts w:hAnsi="Arial" w:cs="Times New Roman"/>
                      <w:kern w:val="0"/>
                      <w:sz w:val="20"/>
                      <w:szCs w:val="21"/>
                    </w:rPr>
                    <w:t>、</w:t>
                  </w:r>
                  <w:r>
                    <w:rPr>
                      <w:rFonts w:cs="Times New Roman"/>
                      <w:kern w:val="0"/>
                      <w:sz w:val="20"/>
                      <w:szCs w:val="21"/>
                    </w:rPr>
                    <w:t>COD</w:t>
                  </w:r>
                  <w:r>
                    <w:rPr>
                      <w:rFonts w:cs="Times New Roman"/>
                      <w:kern w:val="0"/>
                      <w:sz w:val="20"/>
                      <w:szCs w:val="21"/>
                      <w:vertAlign w:val="subscript"/>
                    </w:rPr>
                    <w:t>Cr</w:t>
                  </w:r>
                  <w:r>
                    <w:rPr>
                      <w:rFonts w:hAnsi="Arial" w:cs="Times New Roman"/>
                      <w:kern w:val="0"/>
                      <w:sz w:val="20"/>
                      <w:szCs w:val="21"/>
                    </w:rPr>
                    <w:t>、</w:t>
                  </w:r>
                  <w:r>
                    <w:rPr>
                      <w:rFonts w:cs="Times New Roman"/>
                      <w:kern w:val="0"/>
                      <w:sz w:val="20"/>
                      <w:szCs w:val="21"/>
                    </w:rPr>
                    <w:t>SS</w:t>
                  </w:r>
                  <w:r>
                    <w:rPr>
                      <w:rFonts w:hAnsi="Arial" w:cs="Times New Roman"/>
                      <w:kern w:val="0"/>
                      <w:sz w:val="20"/>
                      <w:szCs w:val="21"/>
                    </w:rPr>
                    <w:t>、</w:t>
                  </w:r>
                  <w:r>
                    <w:rPr>
                      <w:rFonts w:cs="Times New Roman"/>
                      <w:kern w:val="0"/>
                      <w:sz w:val="20"/>
                      <w:szCs w:val="21"/>
                    </w:rPr>
                    <w:t>NH</w:t>
                  </w:r>
                  <w:r>
                    <w:rPr>
                      <w:rFonts w:cs="Times New Roman"/>
                      <w:kern w:val="0"/>
                      <w:sz w:val="20"/>
                      <w:szCs w:val="21"/>
                      <w:vertAlign w:val="subscript"/>
                    </w:rPr>
                    <w:t>3</w:t>
                  </w:r>
                  <w:r>
                    <w:rPr>
                      <w:rFonts w:cs="Times New Roman"/>
                      <w:kern w:val="0"/>
                      <w:sz w:val="20"/>
                      <w:szCs w:val="21"/>
                    </w:rPr>
                    <w:t>-N</w:t>
                  </w:r>
                  <w:r>
                    <w:rPr>
                      <w:rFonts w:hAnsi="Arial" w:cs="Times New Roman"/>
                      <w:kern w:val="0"/>
                      <w:sz w:val="20"/>
                      <w:szCs w:val="21"/>
                    </w:rPr>
                    <w:t>、动植物油</w:t>
                  </w:r>
                </w:p>
              </w:tc>
              <w:tc>
                <w:tcPr>
                  <w:tcW w:w="984"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cs="Times New Roman"/>
                      <w:kern w:val="0"/>
                      <w:sz w:val="20"/>
                      <w:szCs w:val="21"/>
                    </w:rPr>
                    <w:t>2</w:t>
                  </w:r>
                  <w:r>
                    <w:rPr>
                      <w:rFonts w:hAnsi="Arial" w:cs="Times New Roman"/>
                      <w:kern w:val="0"/>
                      <w:sz w:val="20"/>
                      <w:szCs w:val="21"/>
                    </w:rPr>
                    <w:t>天，每天</w:t>
                  </w:r>
                  <w:r>
                    <w:rPr>
                      <w:rFonts w:cs="Times New Roman"/>
                      <w:kern w:val="0"/>
                      <w:sz w:val="20"/>
                      <w:szCs w:val="21"/>
                    </w:rPr>
                    <w:t>4</w:t>
                  </w:r>
                  <w:r>
                    <w:rPr>
                      <w:rFonts w:hAnsi="Arial" w:cs="Times New Roman"/>
                      <w:kern w:val="0"/>
                      <w:sz w:val="2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hAnsi="Arial" w:cs="Times New Roman"/>
                      <w:kern w:val="0"/>
                      <w:sz w:val="20"/>
                      <w:szCs w:val="21"/>
                    </w:rPr>
                    <w:t>雨水排放口</w:t>
                  </w:r>
                </w:p>
              </w:tc>
              <w:tc>
                <w:tcPr>
                  <w:tcW w:w="2859"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cs="Times New Roman"/>
                      <w:kern w:val="0"/>
                      <w:sz w:val="20"/>
                      <w:szCs w:val="21"/>
                    </w:rPr>
                    <w:t>pH</w:t>
                  </w:r>
                  <w:r>
                    <w:rPr>
                      <w:rFonts w:hAnsi="Arial" w:cs="Times New Roman"/>
                      <w:kern w:val="0"/>
                      <w:sz w:val="20"/>
                      <w:szCs w:val="21"/>
                    </w:rPr>
                    <w:t>值、</w:t>
                  </w:r>
                  <w:r>
                    <w:rPr>
                      <w:rFonts w:cs="Times New Roman"/>
                      <w:kern w:val="0"/>
                      <w:sz w:val="20"/>
                      <w:szCs w:val="21"/>
                    </w:rPr>
                    <w:t>TP</w:t>
                  </w:r>
                  <w:r>
                    <w:rPr>
                      <w:rFonts w:hAnsi="Arial" w:cs="Times New Roman"/>
                      <w:kern w:val="0"/>
                      <w:sz w:val="20"/>
                      <w:szCs w:val="21"/>
                    </w:rPr>
                    <w:t>、</w:t>
                  </w:r>
                  <w:r>
                    <w:rPr>
                      <w:rFonts w:cs="Times New Roman"/>
                      <w:kern w:val="0"/>
                      <w:sz w:val="20"/>
                      <w:szCs w:val="21"/>
                    </w:rPr>
                    <w:t>COD</w:t>
                  </w:r>
                  <w:r>
                    <w:rPr>
                      <w:rFonts w:cs="Times New Roman"/>
                      <w:kern w:val="0"/>
                      <w:sz w:val="20"/>
                      <w:szCs w:val="21"/>
                      <w:vertAlign w:val="subscript"/>
                    </w:rPr>
                    <w:t>Cr</w:t>
                  </w:r>
                  <w:r>
                    <w:rPr>
                      <w:rFonts w:hAnsi="Arial" w:cs="Times New Roman"/>
                      <w:kern w:val="0"/>
                      <w:sz w:val="20"/>
                      <w:szCs w:val="21"/>
                    </w:rPr>
                    <w:t>、</w:t>
                  </w:r>
                  <w:r>
                    <w:rPr>
                      <w:rFonts w:cs="Times New Roman"/>
                      <w:kern w:val="0"/>
                      <w:sz w:val="20"/>
                      <w:szCs w:val="21"/>
                    </w:rPr>
                    <w:t>SS</w:t>
                  </w:r>
                  <w:r>
                    <w:rPr>
                      <w:rFonts w:hAnsi="Arial" w:cs="Times New Roman"/>
                      <w:kern w:val="0"/>
                      <w:sz w:val="20"/>
                      <w:szCs w:val="21"/>
                    </w:rPr>
                    <w:t>、</w:t>
                  </w:r>
                  <w:r>
                    <w:rPr>
                      <w:rFonts w:cs="Times New Roman"/>
                      <w:kern w:val="0"/>
                      <w:sz w:val="20"/>
                      <w:szCs w:val="21"/>
                    </w:rPr>
                    <w:t>NH</w:t>
                  </w:r>
                  <w:r>
                    <w:rPr>
                      <w:rFonts w:cs="Times New Roman"/>
                      <w:kern w:val="0"/>
                      <w:sz w:val="20"/>
                      <w:szCs w:val="21"/>
                      <w:vertAlign w:val="subscript"/>
                    </w:rPr>
                    <w:t>3</w:t>
                  </w:r>
                  <w:r>
                    <w:rPr>
                      <w:rFonts w:cs="Times New Roman"/>
                      <w:kern w:val="0"/>
                      <w:sz w:val="20"/>
                      <w:szCs w:val="21"/>
                    </w:rPr>
                    <w:t>-N</w:t>
                  </w:r>
                  <w:r>
                    <w:rPr>
                      <w:rFonts w:hAnsi="Arial" w:cs="Times New Roman"/>
                      <w:kern w:val="0"/>
                      <w:sz w:val="20"/>
                      <w:szCs w:val="21"/>
                    </w:rPr>
                    <w:t>、石油类</w:t>
                  </w:r>
                </w:p>
              </w:tc>
              <w:tc>
                <w:tcPr>
                  <w:tcW w:w="984"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cs="Times New Roman"/>
                      <w:kern w:val="0"/>
                      <w:sz w:val="20"/>
                      <w:szCs w:val="21"/>
                    </w:rPr>
                    <w:t>2</w:t>
                  </w:r>
                  <w:r>
                    <w:rPr>
                      <w:rFonts w:hAnsi="Arial" w:cs="Times New Roman"/>
                      <w:kern w:val="0"/>
                      <w:sz w:val="20"/>
                      <w:szCs w:val="21"/>
                    </w:rPr>
                    <w:t>天，每天</w:t>
                  </w:r>
                  <w:r>
                    <w:rPr>
                      <w:rFonts w:cs="Times New Roman"/>
                      <w:kern w:val="0"/>
                      <w:sz w:val="20"/>
                      <w:szCs w:val="21"/>
                    </w:rPr>
                    <w:t>4</w:t>
                  </w:r>
                  <w:r>
                    <w:rPr>
                      <w:rFonts w:hAnsi="Arial" w:cs="Times New Roman"/>
                      <w:kern w:val="0"/>
                      <w:sz w:val="2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hint="eastAsia" w:ascii="Arial" w:hAnsi="Arial" w:cs="Arial"/>
                      <w:kern w:val="0"/>
                      <w:sz w:val="20"/>
                      <w:szCs w:val="20"/>
                    </w:rPr>
                    <w:t>注：监测期间雨水排放口如有流动水则需采样监测，雨水排放口具体位置由现场人员确定</w:t>
                  </w:r>
                </w:p>
              </w:tc>
            </w:tr>
          </w:tbl>
          <w:p>
            <w:pPr>
              <w:spacing w:line="360" w:lineRule="auto"/>
              <w:ind w:firstLine="482" w:firstLineChars="200"/>
              <w:rPr>
                <w:rFonts w:ascii="Times New Roman" w:hAnsi="Times New Roman"/>
                <w:b/>
                <w:bCs/>
                <w:kern w:val="0"/>
                <w:sz w:val="24"/>
              </w:rPr>
            </w:pPr>
            <w:r>
              <w:rPr>
                <w:rFonts w:ascii="Times New Roman" w:hAnsi="Times New Roman"/>
                <w:b/>
                <w:bCs/>
                <w:kern w:val="0"/>
                <w:sz w:val="24"/>
              </w:rPr>
              <w:t>6.2</w:t>
            </w:r>
            <w:r>
              <w:rPr>
                <w:rFonts w:ascii="Times New Roman" w:hAnsi="Arial"/>
                <w:b/>
                <w:bCs/>
                <w:kern w:val="0"/>
                <w:sz w:val="24"/>
              </w:rPr>
              <w:t>废气监测</w:t>
            </w:r>
          </w:p>
          <w:p>
            <w:pPr>
              <w:widowControl/>
              <w:spacing w:line="360" w:lineRule="auto"/>
              <w:ind w:firstLine="480" w:firstLineChars="200"/>
              <w:rPr>
                <w:rFonts w:ascii="Arial" w:hAnsi="Arial" w:cs="Arial"/>
                <w:kern w:val="0"/>
                <w:sz w:val="20"/>
                <w:szCs w:val="21"/>
              </w:rPr>
            </w:pPr>
            <w:r>
              <w:rPr>
                <w:rFonts w:ascii="Times New Roman" w:hAnsi="Arial"/>
                <w:kern w:val="0"/>
                <w:sz w:val="24"/>
              </w:rPr>
              <w:t>项目废气主要包括地下车库汽车尾气、天然气锅炉</w:t>
            </w:r>
            <w:r>
              <w:rPr>
                <w:rFonts w:hint="eastAsia" w:ascii="Times New Roman" w:hAnsi="Arial"/>
                <w:kern w:val="0"/>
                <w:sz w:val="24"/>
              </w:rPr>
              <w:t>废气</w:t>
            </w:r>
            <w:r>
              <w:rPr>
                <w:rFonts w:ascii="Times New Roman" w:hAnsi="Arial"/>
                <w:kern w:val="0"/>
                <w:sz w:val="24"/>
              </w:rPr>
              <w:t>和</w:t>
            </w:r>
            <w:r>
              <w:rPr>
                <w:rFonts w:hint="eastAsia" w:ascii="Times New Roman" w:hAnsi="Arial"/>
                <w:kern w:val="0"/>
                <w:sz w:val="24"/>
              </w:rPr>
              <w:t>食堂</w:t>
            </w:r>
            <w:r>
              <w:rPr>
                <w:rFonts w:ascii="Times New Roman" w:hAnsi="Arial"/>
                <w:kern w:val="0"/>
                <w:sz w:val="24"/>
              </w:rPr>
              <w:t>油烟废气</w:t>
            </w:r>
            <w:r>
              <w:rPr>
                <w:rFonts w:hint="eastAsia" w:ascii="Times New Roman" w:hAnsi="Arial"/>
                <w:kern w:val="0"/>
                <w:sz w:val="24"/>
              </w:rPr>
              <w:t>、实验室废气和垃圾房臭气</w:t>
            </w:r>
            <w:r>
              <w:rPr>
                <w:rFonts w:ascii="Times New Roman" w:hAnsi="Arial"/>
                <w:kern w:val="0"/>
                <w:sz w:val="24"/>
              </w:rPr>
              <w:t>，根据现场踏勘，地下车库为楼体嵌入，地下车库汽车尾气不具备采样条件</w:t>
            </w:r>
            <w:r>
              <w:rPr>
                <w:rFonts w:hint="eastAsia" w:ascii="Times New Roman" w:hAnsi="Arial"/>
                <w:kern w:val="0"/>
                <w:sz w:val="24"/>
              </w:rPr>
              <w:t>；实验室废气由经通风橱收集后通过管道从屋顶排放，主要为少量酸碱废气；垃圾房臭气无组织排放。</w:t>
            </w:r>
            <w:r>
              <w:rPr>
                <w:rFonts w:ascii="Times New Roman" w:hAnsi="Arial"/>
                <w:kern w:val="0"/>
                <w:sz w:val="24"/>
              </w:rPr>
              <w:t>因此有组织废气主要进行锅炉烟囱烟气监测和餐饮油烟废气监测，有组织废气监测内容见表</w:t>
            </w:r>
            <w:r>
              <w:rPr>
                <w:rFonts w:ascii="Times New Roman" w:hAnsi="Times New Roman"/>
                <w:kern w:val="0"/>
                <w:sz w:val="24"/>
              </w:rPr>
              <w:t>6-2</w:t>
            </w:r>
            <w:r>
              <w:rPr>
                <w:rFonts w:ascii="Times New Roman" w:hAnsi="Arial"/>
                <w:kern w:val="0"/>
                <w:sz w:val="24"/>
              </w:rPr>
              <w:t>，无组织废气监测内容见表</w:t>
            </w:r>
            <w:r>
              <w:rPr>
                <w:rFonts w:ascii="Times New Roman" w:hAnsi="Times New Roman"/>
                <w:kern w:val="0"/>
                <w:sz w:val="24"/>
              </w:rPr>
              <w:t>6-3</w:t>
            </w:r>
            <w:r>
              <w:rPr>
                <w:rFonts w:ascii="Times New Roman" w:hAnsi="Arial"/>
                <w:kern w:val="0"/>
                <w:sz w:val="24"/>
              </w:rPr>
              <w:t>。</w:t>
            </w:r>
          </w:p>
          <w:p>
            <w:pPr>
              <w:pStyle w:val="80"/>
              <w:rPr>
                <w:sz w:val="20"/>
                <w:szCs w:val="22"/>
              </w:rPr>
            </w:pPr>
            <w:r>
              <w:rPr>
                <w:rFonts w:hint="eastAsia"/>
                <w:sz w:val="20"/>
              </w:rPr>
              <w:t>表</w:t>
            </w:r>
            <w:r>
              <w:rPr>
                <w:sz w:val="20"/>
              </w:rPr>
              <w:t xml:space="preserve">6-2  </w:t>
            </w:r>
            <w:r>
              <w:rPr>
                <w:rFonts w:hint="eastAsia"/>
                <w:sz w:val="20"/>
              </w:rPr>
              <w:t>有组织废气监测内容一览表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43"/>
              <w:gridCol w:w="2023"/>
              <w:gridCol w:w="1618"/>
              <w:gridCol w:w="1754"/>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0"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污染源</w:t>
                  </w:r>
                </w:p>
              </w:tc>
              <w:tc>
                <w:tcPr>
                  <w:tcW w:w="1219"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监测对象</w:t>
                  </w:r>
                </w:p>
              </w:tc>
              <w:tc>
                <w:tcPr>
                  <w:tcW w:w="975"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监测点位</w:t>
                  </w:r>
                </w:p>
              </w:tc>
              <w:tc>
                <w:tcPr>
                  <w:tcW w:w="1057"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监测项目</w:t>
                  </w:r>
                </w:p>
              </w:tc>
              <w:tc>
                <w:tcPr>
                  <w:tcW w:w="939"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0"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食堂油烟</w:t>
                  </w:r>
                </w:p>
              </w:tc>
              <w:tc>
                <w:tcPr>
                  <w:tcW w:w="1219"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油烟排放口</w:t>
                  </w:r>
                </w:p>
                <w:p>
                  <w:pPr>
                    <w:pStyle w:val="81"/>
                    <w:rPr>
                      <w:rFonts w:cs="Times New Roman"/>
                      <w:szCs w:val="21"/>
                    </w:rPr>
                  </w:pPr>
                  <w:r>
                    <w:rPr>
                      <w:rFonts w:cs="Times New Roman"/>
                      <w:szCs w:val="21"/>
                    </w:rPr>
                    <w:t>(2</w:t>
                  </w:r>
                  <w:r>
                    <w:rPr>
                      <w:rFonts w:hAnsi="Arial" w:cs="Times New Roman"/>
                      <w:szCs w:val="21"/>
                    </w:rPr>
                    <w:t>个排气筒</w:t>
                  </w:r>
                  <w:r>
                    <w:rPr>
                      <w:rFonts w:cs="Times New Roman"/>
                      <w:szCs w:val="21"/>
                    </w:rPr>
                    <w:t>)</w:t>
                  </w:r>
                </w:p>
              </w:tc>
              <w:tc>
                <w:tcPr>
                  <w:tcW w:w="975"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排气筒出气口</w:t>
                  </w:r>
                </w:p>
              </w:tc>
              <w:tc>
                <w:tcPr>
                  <w:tcW w:w="1057"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油烟</w:t>
                  </w:r>
                </w:p>
              </w:tc>
              <w:tc>
                <w:tcPr>
                  <w:tcW w:w="939"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cs="Times New Roman"/>
                      <w:szCs w:val="21"/>
                    </w:rPr>
                    <w:t>5</w:t>
                  </w:r>
                  <w:r>
                    <w:rPr>
                      <w:rFonts w:hAnsi="Arial" w:cs="Times New Roman"/>
                      <w:szCs w:val="21"/>
                    </w:rPr>
                    <w:t>次</w:t>
                  </w:r>
                  <w:r>
                    <w:rPr>
                      <w:rFonts w:cs="Times New Roman"/>
                      <w:szCs w:val="21"/>
                    </w:rPr>
                    <w:t>/</w:t>
                  </w:r>
                  <w:r>
                    <w:rPr>
                      <w:rFonts w:hAnsi="Arial" w:cs="Times New Roman"/>
                      <w:szCs w:val="21"/>
                    </w:rPr>
                    <w:t>周期，</w:t>
                  </w:r>
                  <w:r>
                    <w:rPr>
                      <w:rFonts w:cs="Times New Roman"/>
                      <w:szCs w:val="21"/>
                    </w:rPr>
                    <w:t>2</w:t>
                  </w:r>
                  <w:r>
                    <w:rPr>
                      <w:rFonts w:hAnsi="Arial" w:cs="Times New Roman"/>
                      <w:szCs w:val="21"/>
                    </w:rPr>
                    <w:t>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0"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天然气锅炉</w:t>
                  </w:r>
                </w:p>
              </w:tc>
              <w:tc>
                <w:tcPr>
                  <w:tcW w:w="1219"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锅炉烟囱</w:t>
                  </w:r>
                </w:p>
                <w:p>
                  <w:pPr>
                    <w:pStyle w:val="81"/>
                    <w:rPr>
                      <w:rFonts w:cs="Times New Roman"/>
                      <w:szCs w:val="21"/>
                    </w:rPr>
                  </w:pPr>
                  <w:r>
                    <w:rPr>
                      <w:rFonts w:cs="Times New Roman"/>
                      <w:szCs w:val="21"/>
                    </w:rPr>
                    <w:t>(</w:t>
                  </w:r>
                  <w:r>
                    <w:rPr>
                      <w:rFonts w:hAnsi="Arial" w:cs="Times New Roman"/>
                      <w:szCs w:val="21"/>
                    </w:rPr>
                    <w:t>共</w:t>
                  </w:r>
                  <w:r>
                    <w:rPr>
                      <w:rFonts w:cs="Times New Roman"/>
                      <w:szCs w:val="21"/>
                    </w:rPr>
                    <w:t>1</w:t>
                  </w:r>
                  <w:r>
                    <w:rPr>
                      <w:rFonts w:hAnsi="Arial" w:cs="Times New Roman"/>
                      <w:szCs w:val="21"/>
                    </w:rPr>
                    <w:t>个排气筒</w:t>
                  </w:r>
                  <w:r>
                    <w:rPr>
                      <w:rFonts w:cs="Times New Roman"/>
                      <w:szCs w:val="21"/>
                    </w:rPr>
                    <w:t>)</w:t>
                  </w:r>
                </w:p>
              </w:tc>
              <w:tc>
                <w:tcPr>
                  <w:tcW w:w="975"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排气筒出气口</w:t>
                  </w:r>
                </w:p>
              </w:tc>
              <w:tc>
                <w:tcPr>
                  <w:tcW w:w="1057"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颗粒物、</w:t>
                  </w:r>
                  <w:r>
                    <w:rPr>
                      <w:rFonts w:cs="Times New Roman"/>
                      <w:szCs w:val="21"/>
                    </w:rPr>
                    <w:t>SO</w:t>
                  </w:r>
                  <w:r>
                    <w:rPr>
                      <w:rFonts w:cs="Times New Roman"/>
                      <w:szCs w:val="21"/>
                      <w:vertAlign w:val="subscript"/>
                    </w:rPr>
                    <w:t>2</w:t>
                  </w:r>
                  <w:r>
                    <w:rPr>
                      <w:rFonts w:hAnsi="Arial" w:cs="Times New Roman"/>
                      <w:szCs w:val="21"/>
                    </w:rPr>
                    <w:t>、</w:t>
                  </w:r>
                  <w:r>
                    <w:rPr>
                      <w:rFonts w:cs="Times New Roman"/>
                      <w:szCs w:val="21"/>
                    </w:rPr>
                    <w:t>NOx</w:t>
                  </w:r>
                  <w:r>
                    <w:rPr>
                      <w:rFonts w:hAnsi="Arial" w:cs="Times New Roman"/>
                      <w:szCs w:val="21"/>
                    </w:rPr>
                    <w:t>、烟气黑度</w:t>
                  </w:r>
                </w:p>
              </w:tc>
              <w:tc>
                <w:tcPr>
                  <w:tcW w:w="939"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cs="Times New Roman"/>
                      <w:szCs w:val="21"/>
                    </w:rPr>
                    <w:t>3</w:t>
                  </w:r>
                  <w:r>
                    <w:rPr>
                      <w:rFonts w:hAnsi="Arial" w:cs="Times New Roman"/>
                      <w:szCs w:val="21"/>
                    </w:rPr>
                    <w:t>次</w:t>
                  </w:r>
                  <w:r>
                    <w:rPr>
                      <w:rFonts w:cs="Times New Roman"/>
                      <w:szCs w:val="21"/>
                    </w:rPr>
                    <w:t>/</w:t>
                  </w:r>
                  <w:r>
                    <w:rPr>
                      <w:rFonts w:hAnsi="Arial" w:cs="Times New Roman"/>
                      <w:szCs w:val="21"/>
                    </w:rPr>
                    <w:t>周期，</w:t>
                  </w:r>
                  <w:r>
                    <w:rPr>
                      <w:rFonts w:cs="Times New Roman"/>
                      <w:szCs w:val="21"/>
                    </w:rPr>
                    <w:t>2</w:t>
                  </w:r>
                  <w:r>
                    <w:rPr>
                      <w:rFonts w:hAnsi="Arial" w:cs="Times New Roman"/>
                      <w:szCs w:val="21"/>
                    </w:rPr>
                    <w:t>个周期</w:t>
                  </w:r>
                </w:p>
              </w:tc>
            </w:tr>
          </w:tbl>
          <w:p>
            <w:pPr>
              <w:pStyle w:val="80"/>
              <w:rPr>
                <w:sz w:val="20"/>
                <w:szCs w:val="22"/>
              </w:rPr>
            </w:pPr>
            <w:r>
              <w:rPr>
                <w:rFonts w:hint="eastAsia"/>
                <w:sz w:val="20"/>
              </w:rPr>
              <w:t>表</w:t>
            </w:r>
            <w:r>
              <w:rPr>
                <w:sz w:val="20"/>
              </w:rPr>
              <w:t xml:space="preserve">6-3 </w:t>
            </w:r>
            <w:r>
              <w:rPr>
                <w:rFonts w:hint="eastAsia"/>
                <w:sz w:val="20"/>
              </w:rPr>
              <w:t>无组织废气监测内容一览表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19"/>
              <w:gridCol w:w="2967"/>
              <w:gridCol w:w="1636"/>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7"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监测点位</w:t>
                  </w:r>
                </w:p>
              </w:tc>
              <w:tc>
                <w:tcPr>
                  <w:tcW w:w="1788"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监测项目</w:t>
                  </w:r>
                </w:p>
              </w:tc>
              <w:tc>
                <w:tcPr>
                  <w:tcW w:w="986"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监测频次</w:t>
                  </w:r>
                </w:p>
              </w:tc>
              <w:tc>
                <w:tcPr>
                  <w:tcW w:w="1009" w:type="pct"/>
                  <w:tcBorders>
                    <w:top w:val="single" w:color="auto" w:sz="4" w:space="0"/>
                    <w:left w:val="single" w:color="auto" w:sz="4" w:space="0"/>
                    <w:bottom w:val="single" w:color="auto" w:sz="4" w:space="0"/>
                    <w:right w:val="single" w:color="auto" w:sz="4" w:space="0"/>
                  </w:tcBorders>
                  <w:vAlign w:val="center"/>
                </w:tcPr>
                <w:p>
                  <w:pPr>
                    <w:pStyle w:val="81"/>
                    <w:rPr>
                      <w:rFonts w:cs="Times New Roman"/>
                      <w:szCs w:val="21"/>
                    </w:rPr>
                  </w:pPr>
                  <w:r>
                    <w:rPr>
                      <w:rFonts w:hAnsi="Arial"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7" w:type="pct"/>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pPr>
                    <w:pStyle w:val="81"/>
                    <w:rPr>
                      <w:rFonts w:cs="Times New Roman"/>
                      <w:szCs w:val="21"/>
                    </w:rPr>
                  </w:pPr>
                  <w:r>
                    <w:rPr>
                      <w:rFonts w:hAnsi="Arial" w:cs="Times New Roman"/>
                      <w:szCs w:val="21"/>
                    </w:rPr>
                    <w:t>厂界四周</w:t>
                  </w:r>
                </w:p>
                <w:p>
                  <w:pPr>
                    <w:pStyle w:val="81"/>
                    <w:rPr>
                      <w:rFonts w:cs="Times New Roman"/>
                      <w:szCs w:val="21"/>
                    </w:rPr>
                  </w:pPr>
                  <w:r>
                    <w:rPr>
                      <w:rFonts w:cs="Times New Roman"/>
                      <w:szCs w:val="21"/>
                    </w:rPr>
                    <w:t>(</w:t>
                  </w:r>
                  <w:r>
                    <w:rPr>
                      <w:rFonts w:hAnsi="Arial" w:cs="Times New Roman"/>
                      <w:szCs w:val="21"/>
                    </w:rPr>
                    <w:t>上风向一个点，下风向</w:t>
                  </w:r>
                  <w:r>
                    <w:rPr>
                      <w:rFonts w:cs="Times New Roman"/>
                      <w:szCs w:val="21"/>
                    </w:rPr>
                    <w:t>3</w:t>
                  </w:r>
                  <w:r>
                    <w:rPr>
                      <w:rFonts w:hAnsi="Arial" w:cs="Times New Roman"/>
                      <w:szCs w:val="21"/>
                    </w:rPr>
                    <w:t>个点</w:t>
                  </w:r>
                  <w:r>
                    <w:rPr>
                      <w:rFonts w:cs="Times New Roman"/>
                      <w:szCs w:val="21"/>
                    </w:rPr>
                    <w:t>)</w:t>
                  </w:r>
                </w:p>
              </w:tc>
              <w:tc>
                <w:tcPr>
                  <w:tcW w:w="1788" w:type="pct"/>
                  <w:tcBorders>
                    <w:top w:val="single" w:color="auto" w:sz="2" w:space="0"/>
                    <w:left w:val="single" w:color="auto" w:sz="2" w:space="0"/>
                    <w:bottom w:val="single" w:color="auto" w:sz="2" w:space="0"/>
                    <w:right w:val="single" w:color="auto" w:sz="4" w:space="0"/>
                  </w:tcBorders>
                  <w:tcMar>
                    <w:top w:w="0" w:type="dxa"/>
                    <w:left w:w="108" w:type="dxa"/>
                    <w:bottom w:w="0" w:type="dxa"/>
                    <w:right w:w="108" w:type="dxa"/>
                  </w:tcMar>
                  <w:vAlign w:val="center"/>
                </w:tcPr>
                <w:p>
                  <w:pPr>
                    <w:pStyle w:val="81"/>
                    <w:rPr>
                      <w:rFonts w:cs="Times New Roman"/>
                      <w:szCs w:val="21"/>
                    </w:rPr>
                  </w:pPr>
                  <w:r>
                    <w:rPr>
                      <w:rFonts w:cs="Times New Roman"/>
                      <w:szCs w:val="21"/>
                    </w:rPr>
                    <w:t>NOx</w:t>
                  </w:r>
                  <w:r>
                    <w:rPr>
                      <w:rFonts w:hAnsi="Arial" w:cs="Times New Roman"/>
                      <w:szCs w:val="21"/>
                    </w:rPr>
                    <w:t>、非甲烷总烃</w:t>
                  </w:r>
                </w:p>
              </w:tc>
              <w:tc>
                <w:tcPr>
                  <w:tcW w:w="986" w:type="pct"/>
                  <w:tcBorders>
                    <w:top w:val="single" w:color="auto" w:sz="2" w:space="0"/>
                    <w:left w:val="single" w:color="auto" w:sz="4" w:space="0"/>
                    <w:bottom w:val="single" w:color="auto" w:sz="2" w:space="0"/>
                    <w:right w:val="single" w:color="auto" w:sz="2" w:space="0"/>
                  </w:tcBorders>
                  <w:tcMar>
                    <w:top w:w="0" w:type="dxa"/>
                    <w:left w:w="108" w:type="dxa"/>
                    <w:bottom w:w="0" w:type="dxa"/>
                    <w:right w:w="108" w:type="dxa"/>
                  </w:tcMar>
                  <w:vAlign w:val="center"/>
                </w:tcPr>
                <w:p>
                  <w:pPr>
                    <w:pStyle w:val="81"/>
                    <w:rPr>
                      <w:rFonts w:cs="Times New Roman"/>
                      <w:szCs w:val="21"/>
                    </w:rPr>
                  </w:pPr>
                  <w:r>
                    <w:rPr>
                      <w:rFonts w:cs="Times New Roman"/>
                      <w:szCs w:val="21"/>
                    </w:rPr>
                    <w:t>2</w:t>
                  </w:r>
                  <w:r>
                    <w:rPr>
                      <w:rFonts w:hAnsi="Arial" w:cs="Times New Roman"/>
                      <w:szCs w:val="21"/>
                    </w:rPr>
                    <w:t>天，每天</w:t>
                  </w:r>
                  <w:r>
                    <w:rPr>
                      <w:rFonts w:cs="Times New Roman"/>
                      <w:szCs w:val="21"/>
                    </w:rPr>
                    <w:t>3</w:t>
                  </w:r>
                  <w:r>
                    <w:rPr>
                      <w:rFonts w:hAnsi="Arial" w:cs="Times New Roman"/>
                      <w:szCs w:val="21"/>
                    </w:rPr>
                    <w:t>次</w:t>
                  </w:r>
                </w:p>
              </w:tc>
              <w:tc>
                <w:tcPr>
                  <w:tcW w:w="1009" w:type="pct"/>
                  <w:tcBorders>
                    <w:top w:val="single" w:color="auto" w:sz="2" w:space="0"/>
                    <w:left w:val="single" w:color="auto" w:sz="4" w:space="0"/>
                    <w:bottom w:val="single" w:color="auto" w:sz="2" w:space="0"/>
                    <w:right w:val="single" w:color="auto" w:sz="2" w:space="0"/>
                  </w:tcBorders>
                  <w:tcMar>
                    <w:top w:w="0" w:type="dxa"/>
                    <w:left w:w="108" w:type="dxa"/>
                    <w:bottom w:w="0" w:type="dxa"/>
                    <w:right w:w="108" w:type="dxa"/>
                  </w:tcMar>
                  <w:vAlign w:val="center"/>
                </w:tcPr>
                <w:p>
                  <w:pPr>
                    <w:pStyle w:val="81"/>
                    <w:rPr>
                      <w:rFonts w:cs="Times New Roman"/>
                      <w:szCs w:val="21"/>
                    </w:rPr>
                  </w:pPr>
                  <w:r>
                    <w:rPr>
                      <w:rFonts w:hAnsi="Arial" w:cs="Times New Roman"/>
                      <w:szCs w:val="21"/>
                    </w:rPr>
                    <w:t>同步记录温度、风向等气象条件</w:t>
                  </w:r>
                </w:p>
              </w:tc>
            </w:tr>
          </w:tbl>
          <w:p>
            <w:pPr>
              <w:spacing w:beforeLines="50" w:line="360" w:lineRule="auto"/>
              <w:ind w:firstLine="482" w:firstLineChars="200"/>
              <w:rPr>
                <w:rFonts w:ascii="Times New Roman" w:hAnsi="Times New Roman"/>
                <w:b/>
                <w:bCs/>
                <w:kern w:val="0"/>
                <w:sz w:val="24"/>
              </w:rPr>
            </w:pPr>
            <w:r>
              <w:rPr>
                <w:rFonts w:ascii="Times New Roman" w:hAnsi="Times New Roman"/>
                <w:b/>
                <w:bCs/>
                <w:kern w:val="0"/>
                <w:sz w:val="24"/>
              </w:rPr>
              <w:t>6.3</w:t>
            </w:r>
            <w:r>
              <w:rPr>
                <w:rFonts w:ascii="Times New Roman" w:hAnsi="Arial"/>
                <w:b/>
                <w:bCs/>
                <w:kern w:val="0"/>
                <w:sz w:val="24"/>
              </w:rPr>
              <w:t>厂界环境噪声监测</w:t>
            </w:r>
          </w:p>
          <w:p>
            <w:pPr>
              <w:widowControl/>
              <w:spacing w:line="360" w:lineRule="auto"/>
              <w:ind w:firstLine="480" w:firstLineChars="200"/>
              <w:rPr>
                <w:rFonts w:ascii="Times New Roman" w:hAnsi="Times New Roman"/>
                <w:kern w:val="0"/>
                <w:sz w:val="24"/>
              </w:rPr>
            </w:pPr>
            <w:r>
              <w:rPr>
                <w:rFonts w:ascii="Times New Roman" w:hAnsi="Arial"/>
                <w:kern w:val="0"/>
                <w:sz w:val="24"/>
              </w:rPr>
              <w:t>噪声监测内容见表</w:t>
            </w:r>
            <w:r>
              <w:rPr>
                <w:rFonts w:ascii="Times New Roman" w:hAnsi="Times New Roman"/>
                <w:kern w:val="0"/>
                <w:sz w:val="24"/>
              </w:rPr>
              <w:t>6-4</w:t>
            </w:r>
            <w:r>
              <w:rPr>
                <w:rFonts w:ascii="Times New Roman" w:hAnsi="Arial"/>
                <w:kern w:val="0"/>
                <w:sz w:val="24"/>
              </w:rPr>
              <w:t>。</w:t>
            </w:r>
          </w:p>
          <w:p>
            <w:pPr>
              <w:pStyle w:val="80"/>
              <w:rPr>
                <w:sz w:val="20"/>
              </w:rPr>
            </w:pPr>
            <w:r>
              <w:rPr>
                <w:rFonts w:hint="eastAsia"/>
                <w:sz w:val="20"/>
              </w:rPr>
              <w:t>表</w:t>
            </w:r>
            <w:r>
              <w:rPr>
                <w:sz w:val="20"/>
              </w:rPr>
              <w:t xml:space="preserve">6-4 </w:t>
            </w:r>
            <w:r>
              <w:rPr>
                <w:rFonts w:hint="eastAsia"/>
                <w:sz w:val="20"/>
              </w:rPr>
              <w:t>噪声监测内容一览表</w:t>
            </w:r>
          </w:p>
          <w:tbl>
            <w:tblPr>
              <w:tblStyle w:val="1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3717"/>
              <w:gridCol w:w="1083"/>
              <w:gridCol w:w="2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hAnsi="Arial" w:cs="Times New Roman"/>
                      <w:kern w:val="0"/>
                      <w:sz w:val="20"/>
                      <w:szCs w:val="21"/>
                    </w:rPr>
                    <w:t>监测对象</w:t>
                  </w:r>
                </w:p>
              </w:tc>
              <w:tc>
                <w:tcPr>
                  <w:tcW w:w="2240"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hAnsi="Arial" w:cs="Times New Roman"/>
                      <w:kern w:val="0"/>
                      <w:sz w:val="20"/>
                      <w:szCs w:val="21"/>
                    </w:rPr>
                    <w:t>监测点位</w:t>
                  </w:r>
                </w:p>
              </w:tc>
              <w:tc>
                <w:tcPr>
                  <w:tcW w:w="653"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hAnsi="Arial" w:cs="Times New Roman"/>
                      <w:kern w:val="0"/>
                      <w:sz w:val="20"/>
                      <w:szCs w:val="21"/>
                    </w:rPr>
                    <w:t>监测项目</w:t>
                  </w:r>
                </w:p>
              </w:tc>
              <w:tc>
                <w:tcPr>
                  <w:tcW w:w="1427"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hAnsi="Arial" w:cs="Times New Roman"/>
                      <w:kern w:val="0"/>
                      <w:sz w:val="2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hAnsi="Arial" w:cs="Times New Roman"/>
                      <w:kern w:val="0"/>
                      <w:sz w:val="20"/>
                      <w:szCs w:val="21"/>
                    </w:rPr>
                    <w:t>厂界噪声</w:t>
                  </w:r>
                </w:p>
              </w:tc>
              <w:tc>
                <w:tcPr>
                  <w:tcW w:w="2240"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hAnsi="Arial" w:cs="Times New Roman"/>
                      <w:kern w:val="0"/>
                      <w:sz w:val="20"/>
                      <w:szCs w:val="21"/>
                    </w:rPr>
                    <w:t>共</w:t>
                  </w:r>
                  <w:r>
                    <w:rPr>
                      <w:rFonts w:hint="eastAsia" w:cs="Times New Roman"/>
                      <w:kern w:val="0"/>
                      <w:sz w:val="20"/>
                      <w:szCs w:val="21"/>
                    </w:rPr>
                    <w:t>4</w:t>
                  </w:r>
                  <w:r>
                    <w:rPr>
                      <w:rFonts w:hAnsi="Arial" w:cs="Times New Roman"/>
                      <w:kern w:val="0"/>
                      <w:sz w:val="20"/>
                      <w:szCs w:val="21"/>
                    </w:rPr>
                    <w:t>个点（厂界</w:t>
                  </w:r>
                  <w:r>
                    <w:rPr>
                      <w:rFonts w:hint="eastAsia" w:hAnsi="Arial" w:cs="Times New Roman"/>
                      <w:kern w:val="0"/>
                      <w:sz w:val="20"/>
                      <w:szCs w:val="21"/>
                    </w:rPr>
                    <w:t>四周</w:t>
                  </w:r>
                  <w:r>
                    <w:rPr>
                      <w:rFonts w:hAnsi="Arial" w:cs="Times New Roman"/>
                      <w:kern w:val="0"/>
                      <w:sz w:val="20"/>
                      <w:szCs w:val="21"/>
                    </w:rPr>
                    <w:t>各设</w:t>
                  </w:r>
                  <w:r>
                    <w:rPr>
                      <w:rFonts w:hint="eastAsia" w:cs="Times New Roman"/>
                      <w:kern w:val="0"/>
                      <w:sz w:val="20"/>
                      <w:szCs w:val="21"/>
                    </w:rPr>
                    <w:t>1</w:t>
                  </w:r>
                  <w:r>
                    <w:rPr>
                      <w:rFonts w:hAnsi="Arial" w:cs="Times New Roman"/>
                      <w:kern w:val="0"/>
                      <w:sz w:val="20"/>
                      <w:szCs w:val="21"/>
                    </w:rPr>
                    <w:t>个点）</w:t>
                  </w:r>
                </w:p>
              </w:tc>
              <w:tc>
                <w:tcPr>
                  <w:tcW w:w="653"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cs="Times New Roman"/>
                      <w:kern w:val="0"/>
                      <w:sz w:val="20"/>
                      <w:szCs w:val="21"/>
                    </w:rPr>
                    <w:t>Leq</w:t>
                  </w:r>
                </w:p>
              </w:tc>
              <w:tc>
                <w:tcPr>
                  <w:tcW w:w="1427"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cs="Times New Roman"/>
                      <w:kern w:val="0"/>
                      <w:sz w:val="20"/>
                      <w:szCs w:val="21"/>
                    </w:rPr>
                    <w:t>2</w:t>
                  </w:r>
                  <w:r>
                    <w:rPr>
                      <w:rFonts w:hAnsi="Arial" w:cs="Times New Roman"/>
                      <w:kern w:val="0"/>
                      <w:sz w:val="20"/>
                      <w:szCs w:val="21"/>
                    </w:rPr>
                    <w:t>天，昼间</w:t>
                  </w:r>
                  <w:r>
                    <w:rPr>
                      <w:rFonts w:hint="eastAsia" w:hAnsi="Arial" w:cs="Times New Roman"/>
                      <w:kern w:val="0"/>
                      <w:sz w:val="20"/>
                      <w:szCs w:val="21"/>
                    </w:rPr>
                    <w:t>1</w:t>
                  </w:r>
                  <w:r>
                    <w:rPr>
                      <w:rFonts w:hAnsi="Arial" w:cs="Times New Roman"/>
                      <w:kern w:val="0"/>
                      <w:sz w:val="2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tcBorders>
                    <w:top w:val="single" w:color="auto" w:sz="4" w:space="0"/>
                    <w:left w:val="single" w:color="auto" w:sz="4" w:space="0"/>
                    <w:bottom w:val="single" w:color="auto" w:sz="4" w:space="0"/>
                    <w:right w:val="single" w:color="auto" w:sz="4" w:space="0"/>
                  </w:tcBorders>
                  <w:vAlign w:val="center"/>
                </w:tcPr>
                <w:p>
                  <w:pPr>
                    <w:pStyle w:val="81"/>
                    <w:rPr>
                      <w:rFonts w:hAnsi="Arial" w:cs="Times New Roman"/>
                      <w:kern w:val="0"/>
                      <w:sz w:val="20"/>
                      <w:szCs w:val="21"/>
                    </w:rPr>
                  </w:pPr>
                  <w:r>
                    <w:rPr>
                      <w:rFonts w:hint="eastAsia" w:hAnsi="Arial" w:cs="Times New Roman"/>
                      <w:kern w:val="0"/>
                      <w:sz w:val="20"/>
                      <w:szCs w:val="21"/>
                    </w:rPr>
                    <w:t>星乐小区二区</w:t>
                  </w:r>
                </w:p>
              </w:tc>
              <w:tc>
                <w:tcPr>
                  <w:tcW w:w="2240" w:type="pct"/>
                  <w:tcBorders>
                    <w:top w:val="single" w:color="auto" w:sz="4" w:space="0"/>
                    <w:left w:val="single" w:color="auto" w:sz="4" w:space="0"/>
                    <w:bottom w:val="single" w:color="auto" w:sz="4" w:space="0"/>
                    <w:right w:val="single" w:color="auto" w:sz="4" w:space="0"/>
                  </w:tcBorders>
                  <w:vAlign w:val="center"/>
                </w:tcPr>
                <w:p>
                  <w:pPr>
                    <w:pStyle w:val="81"/>
                    <w:rPr>
                      <w:rFonts w:hAnsi="Arial" w:cs="Times New Roman"/>
                      <w:kern w:val="0"/>
                      <w:sz w:val="20"/>
                      <w:szCs w:val="21"/>
                    </w:rPr>
                  </w:pPr>
                  <w:r>
                    <w:rPr>
                      <w:rFonts w:hint="eastAsia" w:hAnsi="Arial" w:cs="Times New Roman"/>
                      <w:kern w:val="0"/>
                      <w:sz w:val="20"/>
                      <w:szCs w:val="21"/>
                    </w:rPr>
                    <w:t>共1个点</w:t>
                  </w:r>
                </w:p>
              </w:tc>
              <w:tc>
                <w:tcPr>
                  <w:tcW w:w="653"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cs="Times New Roman"/>
                      <w:kern w:val="0"/>
                      <w:sz w:val="20"/>
                      <w:szCs w:val="21"/>
                    </w:rPr>
                    <w:t>Leq</w:t>
                  </w:r>
                </w:p>
              </w:tc>
              <w:tc>
                <w:tcPr>
                  <w:tcW w:w="1427" w:type="pct"/>
                  <w:tcBorders>
                    <w:top w:val="single" w:color="auto" w:sz="4" w:space="0"/>
                    <w:left w:val="single" w:color="auto" w:sz="4" w:space="0"/>
                    <w:bottom w:val="single" w:color="auto" w:sz="4" w:space="0"/>
                    <w:right w:val="single" w:color="auto" w:sz="4" w:space="0"/>
                  </w:tcBorders>
                  <w:vAlign w:val="center"/>
                </w:tcPr>
                <w:p>
                  <w:pPr>
                    <w:pStyle w:val="81"/>
                    <w:rPr>
                      <w:rFonts w:cs="Times New Roman"/>
                      <w:kern w:val="0"/>
                      <w:sz w:val="20"/>
                      <w:szCs w:val="21"/>
                    </w:rPr>
                  </w:pPr>
                  <w:r>
                    <w:rPr>
                      <w:rFonts w:cs="Times New Roman"/>
                      <w:kern w:val="0"/>
                      <w:sz w:val="20"/>
                      <w:szCs w:val="21"/>
                    </w:rPr>
                    <w:t>2</w:t>
                  </w:r>
                  <w:r>
                    <w:rPr>
                      <w:rFonts w:hAnsi="Arial" w:cs="Times New Roman"/>
                      <w:kern w:val="0"/>
                      <w:sz w:val="20"/>
                      <w:szCs w:val="21"/>
                    </w:rPr>
                    <w:t>天，昼间</w:t>
                  </w:r>
                  <w:r>
                    <w:rPr>
                      <w:rFonts w:hint="eastAsia" w:hAnsi="Arial" w:cs="Times New Roman"/>
                      <w:kern w:val="0"/>
                      <w:sz w:val="20"/>
                      <w:szCs w:val="21"/>
                    </w:rPr>
                    <w:t>1</w:t>
                  </w:r>
                  <w:r>
                    <w:rPr>
                      <w:rFonts w:hAnsi="Arial" w:cs="Times New Roman"/>
                      <w:kern w:val="0"/>
                      <w:sz w:val="20"/>
                      <w:szCs w:val="21"/>
                    </w:rPr>
                    <w:t>次</w:t>
                  </w:r>
                </w:p>
              </w:tc>
            </w:tr>
          </w:tbl>
          <w:p>
            <w:pPr>
              <w:pStyle w:val="28"/>
            </w:pPr>
            <w:r>
              <w:drawing>
                <wp:inline distT="0" distB="0" distL="0" distR="0">
                  <wp:extent cx="5270500" cy="4088765"/>
                  <wp:effectExtent l="1905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
                          <a:srcRect/>
                          <a:stretch>
                            <a:fillRect/>
                          </a:stretch>
                        </pic:blipFill>
                        <pic:spPr>
                          <a:xfrm>
                            <a:off x="0" y="0"/>
                            <a:ext cx="5270500" cy="4088765"/>
                          </a:xfrm>
                          <a:prstGeom prst="rect">
                            <a:avLst/>
                          </a:prstGeom>
                          <a:noFill/>
                          <a:ln w="9525">
                            <a:noFill/>
                            <a:miter lim="800000"/>
                            <a:headEnd/>
                            <a:tailEnd/>
                          </a:ln>
                        </pic:spPr>
                      </pic:pic>
                    </a:graphicData>
                  </a:graphic>
                </wp:inline>
              </w:drawing>
            </w:r>
          </w:p>
          <w:p>
            <w:pPr>
              <w:jc w:val="center"/>
              <w:rPr>
                <w:rFonts w:ascii="Times New Roman" w:hAnsi="Times New Roman"/>
                <w:kern w:val="0"/>
                <w:sz w:val="20"/>
                <w:szCs w:val="21"/>
              </w:rPr>
            </w:pPr>
            <w:r>
              <w:rPr>
                <w:rFonts w:ascii="Times New Roman" w:hAnsi="Arial"/>
                <w:b/>
                <w:bCs/>
                <w:kern w:val="0"/>
                <w:sz w:val="20"/>
                <w:szCs w:val="21"/>
              </w:rPr>
              <w:t>图</w:t>
            </w:r>
            <w:r>
              <w:rPr>
                <w:rFonts w:ascii="Times New Roman" w:hAnsi="Times New Roman"/>
                <w:b/>
                <w:bCs/>
                <w:kern w:val="0"/>
                <w:sz w:val="20"/>
                <w:szCs w:val="21"/>
              </w:rPr>
              <w:t xml:space="preserve">6-1 </w:t>
            </w:r>
            <w:r>
              <w:rPr>
                <w:rFonts w:ascii="Times New Roman" w:hAnsi="Arial"/>
                <w:b/>
                <w:bCs/>
                <w:kern w:val="0"/>
                <w:sz w:val="20"/>
                <w:szCs w:val="21"/>
              </w:rPr>
              <w:t>污水、有组织废气、无组织废气、噪声检测采样点位</w:t>
            </w:r>
          </w:p>
          <w:p>
            <w:pPr>
              <w:ind w:firstLine="480"/>
              <w:rPr>
                <w:rFonts w:ascii="Times New Roman" w:hAnsi="Times New Roman" w:cstheme="minorBidi"/>
                <w:kern w:val="0"/>
                <w:sz w:val="24"/>
              </w:rPr>
            </w:pPr>
            <w:r>
              <w:rPr>
                <w:rFonts w:hint="eastAsia" w:ascii="Arial" w:hAnsi="Arial" w:cs="Arial"/>
                <w:kern w:val="0"/>
                <w:sz w:val="18"/>
                <w:szCs w:val="16"/>
              </w:rPr>
              <w:t>注：★为污水采样点，</w:t>
            </w:r>
            <w:r>
              <w:rPr>
                <w:rFonts w:hint="eastAsia" w:ascii="宋体" w:hAnsi="宋体" w:cs="Arial"/>
                <w:kern w:val="0"/>
                <w:sz w:val="18"/>
                <w:szCs w:val="16"/>
              </w:rPr>
              <w:t>●</w:t>
            </w:r>
            <w:r>
              <w:rPr>
                <w:rFonts w:hint="eastAsia" w:ascii="Arial" w:hAnsi="Arial" w:cs="Arial"/>
                <w:kern w:val="0"/>
                <w:sz w:val="18"/>
                <w:szCs w:val="16"/>
              </w:rPr>
              <w:t>为有组织废气采样点，○为无组织废气采样点，▲为噪声厂界检测点，△为声环境保护目标检测点</w:t>
            </w:r>
          </w:p>
          <w:p>
            <w:pPr>
              <w:spacing w:line="360" w:lineRule="auto"/>
              <w:rPr>
                <w:rFonts w:cstheme="minorBidi"/>
                <w:kern w:val="0"/>
                <w:sz w:val="24"/>
              </w:rPr>
            </w:pPr>
          </w:p>
        </w:tc>
      </w:tr>
    </w:tbl>
    <w:p>
      <w:pPr>
        <w:sectPr>
          <w:pgSz w:w="11906" w:h="16838"/>
          <w:pgMar w:top="1440" w:right="1800" w:bottom="1440" w:left="1800" w:header="851" w:footer="992" w:gutter="0"/>
          <w:cols w:space="425" w:num="1"/>
          <w:docGrid w:type="lines" w:linePitch="312" w:charSpace="0"/>
        </w:sectPr>
      </w:pPr>
    </w:p>
    <w:p>
      <w:pPr>
        <w:pStyle w:val="3"/>
        <w:rPr>
          <w:rFonts w:ascii="Arial" w:hAnsi="Arial" w:cs="Arial"/>
        </w:rPr>
      </w:pPr>
      <w:r>
        <w:rPr>
          <w:rFonts w:hint="eastAsia" w:ascii="Arial" w:hAnsi="Arial" w:cs="Arial"/>
        </w:rPr>
        <w:t>表七验收监测结果</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Borders>
              <w:top w:val="single" w:color="auto" w:sz="4" w:space="0"/>
              <w:left w:val="single" w:color="auto" w:sz="4" w:space="0"/>
              <w:bottom w:val="single" w:color="auto" w:sz="4" w:space="0"/>
              <w:right w:val="single" w:color="auto" w:sz="4" w:space="0"/>
            </w:tcBorders>
          </w:tcPr>
          <w:p>
            <w:pPr>
              <w:spacing w:line="360" w:lineRule="auto"/>
              <w:ind w:firstLine="482" w:firstLineChars="200"/>
              <w:rPr>
                <w:rFonts w:ascii="Times New Roman" w:hAnsi="Times New Roman"/>
                <w:b/>
                <w:bCs/>
                <w:kern w:val="0"/>
                <w:sz w:val="24"/>
              </w:rPr>
            </w:pPr>
            <w:r>
              <w:rPr>
                <w:rFonts w:ascii="Times New Roman" w:hAnsi="Times New Roman"/>
                <w:b/>
                <w:bCs/>
                <w:kern w:val="0"/>
                <w:sz w:val="24"/>
              </w:rPr>
              <w:t>7.1</w:t>
            </w:r>
            <w:r>
              <w:rPr>
                <w:rFonts w:ascii="Times New Roman" w:hAnsi="Arial"/>
                <w:b/>
                <w:bCs/>
                <w:kern w:val="0"/>
                <w:sz w:val="24"/>
              </w:rPr>
              <w:t>验收监测期间生产工况记录</w:t>
            </w:r>
          </w:p>
          <w:p>
            <w:pPr>
              <w:spacing w:line="360" w:lineRule="auto"/>
              <w:ind w:firstLine="480" w:firstLineChars="200"/>
              <w:rPr>
                <w:rFonts w:ascii="Times New Roman" w:hAnsi="Times New Roman"/>
                <w:kern w:val="0"/>
                <w:sz w:val="24"/>
              </w:rPr>
            </w:pPr>
            <w:r>
              <w:rPr>
                <w:rFonts w:ascii="Times New Roman" w:hAnsi="Arial"/>
                <w:kern w:val="0"/>
                <w:sz w:val="24"/>
              </w:rPr>
              <w:t>根据生态环境部办公厅</w:t>
            </w:r>
            <w:r>
              <w:rPr>
                <w:rFonts w:ascii="Times New Roman" w:hAnsi="Times New Roman"/>
                <w:kern w:val="0"/>
                <w:sz w:val="24"/>
              </w:rPr>
              <w:t>2018</w:t>
            </w:r>
            <w:r>
              <w:rPr>
                <w:rFonts w:ascii="Times New Roman" w:hAnsi="Arial"/>
                <w:kern w:val="0"/>
                <w:sz w:val="24"/>
              </w:rPr>
              <w:t>年第</w:t>
            </w:r>
            <w:r>
              <w:rPr>
                <w:rFonts w:ascii="Times New Roman" w:hAnsi="Times New Roman"/>
                <w:kern w:val="0"/>
                <w:sz w:val="24"/>
              </w:rPr>
              <w:t>9</w:t>
            </w:r>
            <w:r>
              <w:rPr>
                <w:rFonts w:ascii="Times New Roman" w:hAnsi="Arial"/>
                <w:kern w:val="0"/>
                <w:sz w:val="24"/>
              </w:rPr>
              <w:t>号公告《建设项目竣工环境保护验收技术指南污染影响类》的有关规定和要求，验收监测应当在确保主体工程工况稳定、环境保护设施运行正常的情况下进行。</w:t>
            </w:r>
          </w:p>
          <w:p>
            <w:pPr>
              <w:spacing w:line="360" w:lineRule="auto"/>
              <w:ind w:firstLine="480" w:firstLineChars="200"/>
              <w:rPr>
                <w:rFonts w:cstheme="minorBidi"/>
                <w:kern w:val="0"/>
                <w:sz w:val="24"/>
              </w:rPr>
            </w:pPr>
            <w:r>
              <w:rPr>
                <w:rFonts w:ascii="Times New Roman" w:hAnsi="Arial"/>
                <w:kern w:val="0"/>
                <w:sz w:val="24"/>
              </w:rPr>
              <w:t>验收监测期间，</w:t>
            </w:r>
            <w:r>
              <w:rPr>
                <w:rFonts w:hint="eastAsia" w:ascii="Times New Roman" w:hAnsi="Arial"/>
                <w:kern w:val="0"/>
                <w:sz w:val="24"/>
              </w:rPr>
              <w:t>学校</w:t>
            </w:r>
            <w:r>
              <w:rPr>
                <w:rFonts w:ascii="Times New Roman" w:hAnsi="Arial"/>
                <w:kern w:val="0"/>
                <w:sz w:val="24"/>
              </w:rPr>
              <w:t>正常运营，环保设施正常稳定运行情况。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Borders>
              <w:top w:val="single" w:color="auto" w:sz="4" w:space="0"/>
              <w:left w:val="single" w:color="auto" w:sz="4" w:space="0"/>
              <w:bottom w:val="single" w:color="auto" w:sz="4" w:space="0"/>
              <w:right w:val="single" w:color="auto" w:sz="4" w:space="0"/>
            </w:tcBorders>
          </w:tcPr>
          <w:p>
            <w:pPr>
              <w:spacing w:line="360" w:lineRule="auto"/>
              <w:ind w:firstLine="482" w:firstLineChars="200"/>
              <w:rPr>
                <w:rFonts w:ascii="Times New Roman" w:hAnsi="Times New Roman"/>
                <w:b/>
                <w:bCs/>
                <w:kern w:val="0"/>
                <w:sz w:val="24"/>
              </w:rPr>
            </w:pPr>
            <w:r>
              <w:rPr>
                <w:rFonts w:ascii="Times New Roman" w:hAnsi="Times New Roman"/>
                <w:b/>
                <w:bCs/>
                <w:kern w:val="0"/>
                <w:sz w:val="24"/>
              </w:rPr>
              <w:t>7.2</w:t>
            </w:r>
            <w:r>
              <w:rPr>
                <w:rFonts w:ascii="Times New Roman" w:hAnsi="Arial"/>
                <w:b/>
                <w:bCs/>
                <w:kern w:val="0"/>
                <w:sz w:val="24"/>
              </w:rPr>
              <w:t>验收监测结果</w:t>
            </w:r>
          </w:p>
          <w:p>
            <w:pPr>
              <w:spacing w:line="360" w:lineRule="auto"/>
              <w:ind w:firstLine="480" w:firstLineChars="200"/>
              <w:rPr>
                <w:rFonts w:ascii="Times New Roman" w:hAnsi="Arial"/>
                <w:kern w:val="0"/>
                <w:sz w:val="24"/>
              </w:rPr>
            </w:pPr>
            <w:r>
              <w:rPr>
                <w:rFonts w:ascii="Times New Roman" w:hAnsi="Arial"/>
                <w:kern w:val="0"/>
                <w:sz w:val="24"/>
              </w:rPr>
              <w:t>本项目验收监测委托杭州中环检测有限公司于</w:t>
            </w:r>
            <w:r>
              <w:rPr>
                <w:rFonts w:ascii="Times New Roman" w:hAnsi="Times New Roman"/>
                <w:color w:val="000000" w:themeColor="text1"/>
                <w:kern w:val="0"/>
                <w:sz w:val="24"/>
              </w:rPr>
              <w:t>202</w:t>
            </w:r>
            <w:r>
              <w:rPr>
                <w:rFonts w:hint="eastAsia" w:ascii="Times New Roman" w:hAnsi="Times New Roman"/>
                <w:color w:val="000000" w:themeColor="text1"/>
                <w:kern w:val="0"/>
                <w:sz w:val="24"/>
              </w:rPr>
              <w:t>4</w:t>
            </w:r>
            <w:r>
              <w:rPr>
                <w:rFonts w:ascii="Times New Roman" w:hAnsi="Arial"/>
                <w:color w:val="000000" w:themeColor="text1"/>
                <w:kern w:val="0"/>
                <w:sz w:val="24"/>
              </w:rPr>
              <w:t>年</w:t>
            </w:r>
            <w:r>
              <w:rPr>
                <w:rFonts w:hint="eastAsia" w:ascii="Times New Roman" w:hAnsi="Times New Roman"/>
                <w:color w:val="000000" w:themeColor="text1"/>
                <w:kern w:val="0"/>
                <w:sz w:val="24"/>
              </w:rPr>
              <w:t>5</w:t>
            </w:r>
            <w:r>
              <w:rPr>
                <w:rFonts w:ascii="Times New Roman" w:hAnsi="Arial"/>
                <w:color w:val="000000" w:themeColor="text1"/>
                <w:kern w:val="0"/>
                <w:sz w:val="24"/>
              </w:rPr>
              <w:t>月</w:t>
            </w:r>
            <w:r>
              <w:rPr>
                <w:rFonts w:hint="eastAsia" w:ascii="Times New Roman" w:hAnsi="Times New Roman"/>
                <w:color w:val="000000" w:themeColor="text1"/>
                <w:kern w:val="0"/>
                <w:sz w:val="24"/>
              </w:rPr>
              <w:t>8</w:t>
            </w:r>
            <w:r>
              <w:rPr>
                <w:rFonts w:ascii="Times New Roman" w:hAnsi="Arial"/>
                <w:color w:val="000000" w:themeColor="text1"/>
                <w:kern w:val="0"/>
                <w:sz w:val="24"/>
              </w:rPr>
              <w:t>日</w:t>
            </w:r>
            <w:r>
              <w:rPr>
                <w:rFonts w:ascii="Times New Roman" w:hAnsi="Times New Roman"/>
                <w:color w:val="000000" w:themeColor="text1"/>
                <w:kern w:val="0"/>
                <w:sz w:val="24"/>
              </w:rPr>
              <w:t>~202</w:t>
            </w:r>
            <w:r>
              <w:rPr>
                <w:rFonts w:hint="eastAsia" w:ascii="Times New Roman" w:hAnsi="Times New Roman"/>
                <w:color w:val="000000" w:themeColor="text1"/>
                <w:kern w:val="0"/>
                <w:sz w:val="24"/>
              </w:rPr>
              <w:t>4</w:t>
            </w:r>
            <w:r>
              <w:rPr>
                <w:rFonts w:ascii="Times New Roman" w:hAnsi="Arial"/>
                <w:color w:val="000000" w:themeColor="text1"/>
                <w:kern w:val="0"/>
                <w:sz w:val="24"/>
              </w:rPr>
              <w:t>年</w:t>
            </w:r>
            <w:r>
              <w:rPr>
                <w:rFonts w:hint="eastAsia" w:ascii="Times New Roman" w:hAnsi="Times New Roman"/>
                <w:color w:val="000000" w:themeColor="text1"/>
                <w:kern w:val="0"/>
                <w:sz w:val="24"/>
              </w:rPr>
              <w:t>5</w:t>
            </w:r>
            <w:r>
              <w:rPr>
                <w:rFonts w:ascii="Times New Roman" w:hAnsi="Arial"/>
                <w:color w:val="000000" w:themeColor="text1"/>
                <w:kern w:val="0"/>
                <w:sz w:val="24"/>
              </w:rPr>
              <w:t>月</w:t>
            </w:r>
            <w:r>
              <w:rPr>
                <w:rFonts w:hint="eastAsia" w:ascii="Times New Roman" w:hAnsi="Times New Roman"/>
                <w:color w:val="000000" w:themeColor="text1"/>
                <w:kern w:val="0"/>
                <w:sz w:val="24"/>
              </w:rPr>
              <w:t>9</w:t>
            </w:r>
            <w:r>
              <w:rPr>
                <w:rFonts w:ascii="Times New Roman" w:hAnsi="Arial"/>
                <w:color w:val="000000" w:themeColor="text1"/>
                <w:kern w:val="0"/>
                <w:sz w:val="24"/>
              </w:rPr>
              <w:t>日</w:t>
            </w:r>
            <w:r>
              <w:rPr>
                <w:rFonts w:ascii="Times New Roman" w:hAnsi="Arial"/>
                <w:kern w:val="0"/>
                <w:sz w:val="24"/>
              </w:rPr>
              <w:t>进行。本次监测结果全部摘录自杭州中环检测有限公司检测报告。测量点位和周围环境情况说明如图</w:t>
            </w:r>
            <w:r>
              <w:rPr>
                <w:rFonts w:ascii="Times New Roman" w:hAnsi="Times New Roman"/>
                <w:kern w:val="0"/>
                <w:sz w:val="24"/>
              </w:rPr>
              <w:t>6-1</w:t>
            </w:r>
            <w:r>
              <w:rPr>
                <w:rFonts w:ascii="Times New Roman" w:hAnsi="Arial"/>
                <w:kern w:val="0"/>
                <w:sz w:val="24"/>
              </w:rPr>
              <w:t>所示。</w:t>
            </w:r>
          </w:p>
          <w:p>
            <w:pPr>
              <w:spacing w:line="360" w:lineRule="auto"/>
              <w:ind w:firstLine="482" w:firstLineChars="200"/>
              <w:rPr>
                <w:rFonts w:ascii="Times New Roman" w:hAnsi="Times New Roman"/>
                <w:b/>
                <w:bCs/>
                <w:kern w:val="0"/>
                <w:sz w:val="24"/>
              </w:rPr>
            </w:pPr>
            <w:r>
              <w:rPr>
                <w:rFonts w:ascii="Times New Roman" w:hAnsi="Times New Roman"/>
                <w:b/>
                <w:bCs/>
                <w:kern w:val="0"/>
                <w:sz w:val="24"/>
              </w:rPr>
              <w:t>7.2.1</w:t>
            </w:r>
            <w:r>
              <w:rPr>
                <w:rFonts w:ascii="Times New Roman" w:hAnsi="Arial"/>
                <w:b/>
                <w:bCs/>
                <w:kern w:val="0"/>
                <w:sz w:val="24"/>
              </w:rPr>
              <w:t>废水</w:t>
            </w:r>
          </w:p>
          <w:p>
            <w:pPr>
              <w:spacing w:line="360" w:lineRule="auto"/>
              <w:ind w:firstLine="480" w:firstLineChars="200"/>
              <w:rPr>
                <w:rFonts w:ascii="Times New Roman" w:hAnsi="Times New Roman"/>
                <w:kern w:val="0"/>
                <w:sz w:val="24"/>
              </w:rPr>
            </w:pPr>
            <w:r>
              <w:rPr>
                <w:rFonts w:ascii="Times New Roman" w:hAnsi="Times New Roman"/>
                <w:kern w:val="0"/>
                <w:sz w:val="24"/>
              </w:rPr>
              <w:t>1.</w:t>
            </w:r>
            <w:r>
              <w:rPr>
                <w:rFonts w:ascii="Times New Roman" w:hAnsi="Arial"/>
                <w:kern w:val="0"/>
                <w:sz w:val="24"/>
              </w:rPr>
              <w:t>废水</w:t>
            </w:r>
          </w:p>
          <w:p>
            <w:pPr>
              <w:spacing w:line="360" w:lineRule="auto"/>
              <w:ind w:firstLine="480" w:firstLineChars="200"/>
              <w:rPr>
                <w:rFonts w:ascii="Times New Roman" w:hAnsi="Times New Roman"/>
                <w:kern w:val="0"/>
                <w:sz w:val="24"/>
              </w:rPr>
            </w:pPr>
            <w:r>
              <w:rPr>
                <w:rFonts w:ascii="Times New Roman" w:hAnsi="Arial"/>
                <w:kern w:val="0"/>
                <w:sz w:val="24"/>
              </w:rPr>
              <w:t>根据现场调查，验收监测期间，</w:t>
            </w:r>
            <w:r>
              <w:rPr>
                <w:rFonts w:ascii="Times New Roman" w:hAnsi="Times New Roman"/>
                <w:bCs/>
                <w:kern w:val="0"/>
                <w:sz w:val="24"/>
              </w:rPr>
              <w:t>项目食堂厨房含油废水经隔油除渣等预处理、冲厕废水经化粪池预处理、实验室废水经中和池处理后纳入城市污水管网；游泳池废水平均每个月排放一次，废水需先经过滤除去毛发等杂质，再沉淀去除SS后，与经化粪池预处理后的其它生活污水一道接入污水管网后送临平净水厂处理</w:t>
            </w:r>
            <w:r>
              <w:rPr>
                <w:rFonts w:ascii="Times New Roman" w:hAnsi="Arial"/>
                <w:kern w:val="0"/>
                <w:sz w:val="24"/>
              </w:rPr>
              <w:t>。</w:t>
            </w:r>
            <w:r>
              <w:rPr>
                <w:rFonts w:hint="eastAsia" w:ascii="Times New Roman" w:hAnsi="Arial"/>
                <w:kern w:val="0"/>
                <w:sz w:val="24"/>
              </w:rPr>
              <w:t>共有两个污水排放口，位于天华路上。</w:t>
            </w:r>
          </w:p>
          <w:p>
            <w:pPr>
              <w:spacing w:line="360" w:lineRule="auto"/>
              <w:ind w:firstLine="480" w:firstLineChars="200"/>
              <w:rPr>
                <w:rFonts w:ascii="Times New Roman" w:hAnsi="Times New Roman"/>
                <w:kern w:val="0"/>
                <w:sz w:val="24"/>
              </w:rPr>
            </w:pPr>
            <w:r>
              <w:rPr>
                <w:rFonts w:ascii="Times New Roman" w:hAnsi="Arial"/>
                <w:kern w:val="0"/>
                <w:sz w:val="24"/>
              </w:rPr>
              <w:t>验收期间项目废水排放口检测结果见表</w:t>
            </w:r>
            <w:r>
              <w:rPr>
                <w:rFonts w:ascii="Times New Roman" w:hAnsi="Times New Roman"/>
                <w:kern w:val="0"/>
                <w:sz w:val="24"/>
              </w:rPr>
              <w:t>7-</w:t>
            </w:r>
            <w:r>
              <w:rPr>
                <w:rFonts w:hint="eastAsia" w:ascii="Times New Roman" w:hAnsi="Times New Roman"/>
                <w:kern w:val="0"/>
                <w:sz w:val="24"/>
              </w:rPr>
              <w:t>1</w:t>
            </w:r>
            <w:r>
              <w:rPr>
                <w:rFonts w:ascii="Times New Roman" w:hAnsi="Arial"/>
                <w:kern w:val="0"/>
                <w:sz w:val="24"/>
              </w:rPr>
              <w:t>。</w:t>
            </w:r>
          </w:p>
          <w:p>
            <w:pPr>
              <w:pStyle w:val="80"/>
              <w:rPr>
                <w:sz w:val="20"/>
                <w:szCs w:val="22"/>
              </w:rPr>
            </w:pPr>
            <w:r>
              <w:rPr>
                <w:rFonts w:hint="eastAsia"/>
                <w:sz w:val="20"/>
              </w:rPr>
              <w:t>表</w:t>
            </w:r>
            <w:r>
              <w:rPr>
                <w:sz w:val="20"/>
              </w:rPr>
              <w:t>7-</w:t>
            </w:r>
            <w:r>
              <w:rPr>
                <w:rFonts w:hint="eastAsia"/>
                <w:sz w:val="20"/>
              </w:rPr>
              <w:t>1</w:t>
            </w:r>
            <w:r>
              <w:rPr>
                <w:sz w:val="20"/>
              </w:rPr>
              <w:t xml:space="preserve"> </w:t>
            </w:r>
            <w:r>
              <w:rPr>
                <w:rFonts w:hint="eastAsia"/>
                <w:sz w:val="20"/>
              </w:rPr>
              <w:t>废水监测结果</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654"/>
              <w:gridCol w:w="1923"/>
              <w:gridCol w:w="816"/>
              <w:gridCol w:w="850"/>
              <w:gridCol w:w="896"/>
              <w:gridCol w:w="898"/>
              <w:gridCol w:w="58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采样日期</w:t>
                  </w:r>
                </w:p>
              </w:tc>
              <w:tc>
                <w:tcPr>
                  <w:tcW w:w="394" w:type="pct"/>
                  <w:vMerge w:val="restar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采样</w:t>
                  </w:r>
                </w:p>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点位</w:t>
                  </w:r>
                </w:p>
              </w:tc>
              <w:tc>
                <w:tcPr>
                  <w:tcW w:w="1159" w:type="pct"/>
                  <w:vMerge w:val="restar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项目名称及单位</w:t>
                  </w:r>
                </w:p>
              </w:tc>
              <w:tc>
                <w:tcPr>
                  <w:tcW w:w="2085" w:type="pct"/>
                  <w:gridSpan w:val="4"/>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检测结果</w:t>
                  </w:r>
                </w:p>
              </w:tc>
              <w:tc>
                <w:tcPr>
                  <w:tcW w:w="355" w:type="pct"/>
                  <w:vMerge w:val="restar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纳管</w:t>
                  </w:r>
                </w:p>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标准</w:t>
                  </w:r>
                </w:p>
              </w:tc>
              <w:tc>
                <w:tcPr>
                  <w:tcW w:w="314" w:type="pct"/>
                  <w:vMerge w:val="restar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第一次</w:t>
                  </w:r>
                </w:p>
              </w:tc>
              <w:tc>
                <w:tcPr>
                  <w:tcW w:w="512"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第二次</w:t>
                  </w:r>
                </w:p>
              </w:tc>
              <w:tc>
                <w:tcPr>
                  <w:tcW w:w="540"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第三次</w:t>
                  </w:r>
                </w:p>
              </w:tc>
              <w:tc>
                <w:tcPr>
                  <w:tcW w:w="541"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第四次</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2024.5.8</w:t>
                  </w:r>
                </w:p>
              </w:tc>
              <w:tc>
                <w:tcPr>
                  <w:tcW w:w="394" w:type="pct"/>
                  <w:vMerge w:val="restar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天华路污水井排放口（南）</w:t>
                  </w: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pH值* 无量纲</w:t>
                  </w:r>
                </w:p>
              </w:tc>
              <w:tc>
                <w:tcPr>
                  <w:tcW w:w="492"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6.6</w:t>
                  </w:r>
                </w:p>
              </w:tc>
              <w:tc>
                <w:tcPr>
                  <w:tcW w:w="512" w:type="pct"/>
                  <w:tcBorders>
                    <w:top w:val="single" w:color="auto" w:sz="4" w:space="0"/>
                    <w:left w:val="nil"/>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6.8</w:t>
                  </w:r>
                </w:p>
              </w:tc>
              <w:tc>
                <w:tcPr>
                  <w:tcW w:w="540" w:type="pct"/>
                  <w:tcBorders>
                    <w:top w:val="single" w:color="auto" w:sz="4" w:space="0"/>
                    <w:left w:val="nil"/>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6.8</w:t>
                  </w:r>
                </w:p>
              </w:tc>
              <w:tc>
                <w:tcPr>
                  <w:tcW w:w="541" w:type="pct"/>
                  <w:tcBorders>
                    <w:top w:val="single" w:color="auto" w:sz="4" w:space="0"/>
                    <w:left w:val="nil"/>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6.7</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6~9</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cs="Times New Roman"/>
                      <w:color w:val="000000" w:themeColor="text1"/>
                      <w:sz w:val="21"/>
                      <w:szCs w:val="21"/>
                    </w:rPr>
                    <w:t>悬浮物</w:t>
                  </w:r>
                  <w:r>
                    <w:rPr>
                      <w:rFonts w:ascii="Times New Roman" w:hAnsi="Times New Roman" w:cs="Times New Roman"/>
                      <w:color w:val="000000" w:themeColor="text1"/>
                      <w:kern w:val="2"/>
                      <w:sz w:val="21"/>
                      <w:szCs w:val="21"/>
                    </w:rPr>
                    <w:t>mg/L</w:t>
                  </w:r>
                </w:p>
              </w:tc>
              <w:tc>
                <w:tcPr>
                  <w:tcW w:w="492" w:type="pct"/>
                  <w:tcBorders>
                    <w:top w:val="nil"/>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114</w:t>
                  </w:r>
                </w:p>
              </w:tc>
              <w:tc>
                <w:tcPr>
                  <w:tcW w:w="512" w:type="pct"/>
                  <w:tcBorders>
                    <w:top w:val="nil"/>
                    <w:left w:val="nil"/>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154</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86</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136</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400</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化学需氧量mg/L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222</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177</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204</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261</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500</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氨氮mg/L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13.5</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16.1</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12.3</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15.1</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45</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总磷mg/L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1.51</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1.39</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1.30</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1.38</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8</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动植物油mg/L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1.30</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1.16</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1.21</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1.20</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100</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样品性状</w:t>
                  </w:r>
                </w:p>
              </w:tc>
              <w:tc>
                <w:tcPr>
                  <w:tcW w:w="49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1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4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4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2024.5.9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pH值* 无量纲</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6.9</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7.0</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6.9</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6.9</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6~9</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cs="Times New Roman"/>
                      <w:color w:val="000000" w:themeColor="text1"/>
                      <w:sz w:val="21"/>
                      <w:szCs w:val="21"/>
                    </w:rPr>
                    <w:t>悬浮物</w:t>
                  </w:r>
                  <w:r>
                    <w:rPr>
                      <w:rFonts w:ascii="Times New Roman" w:hAnsi="Times New Roman" w:cs="Times New Roman"/>
                      <w:color w:val="000000" w:themeColor="text1"/>
                      <w:kern w:val="2"/>
                      <w:sz w:val="21"/>
                      <w:szCs w:val="21"/>
                    </w:rPr>
                    <w:t>mg/L</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151</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119</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166</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162</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400</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化学需氧量mg/L</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278</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214</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242</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208</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500</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氨氮mg/L</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16.4</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19.0</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17.3</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16.7</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45</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总磷mg/L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1.56</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1.33</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1.37</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1.30</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8</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动植物油mg/L</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1.28</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1.34</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1.23</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1.36</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100</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样品性状</w:t>
                  </w:r>
                </w:p>
              </w:tc>
              <w:tc>
                <w:tcPr>
                  <w:tcW w:w="49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1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4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4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w:t>
                  </w:r>
                </w:p>
              </w:tc>
              <w:tc>
                <w:tcPr>
                  <w:tcW w:w="314"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2024.5.8</w:t>
                  </w:r>
                </w:p>
              </w:tc>
              <w:tc>
                <w:tcPr>
                  <w:tcW w:w="394" w:type="pct"/>
                  <w:vMerge w:val="restar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天华路污水井排放口（北）</w:t>
                  </w: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pH值* 无量纲</w:t>
                  </w:r>
                </w:p>
              </w:tc>
              <w:tc>
                <w:tcPr>
                  <w:tcW w:w="49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6.7</w:t>
                  </w:r>
                </w:p>
              </w:tc>
              <w:tc>
                <w:tcPr>
                  <w:tcW w:w="512" w:type="pct"/>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6.7</w:t>
                  </w:r>
                </w:p>
              </w:tc>
              <w:tc>
                <w:tcPr>
                  <w:tcW w:w="540" w:type="pct"/>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6.8</w:t>
                  </w:r>
                </w:p>
              </w:tc>
              <w:tc>
                <w:tcPr>
                  <w:tcW w:w="541" w:type="pct"/>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6.9</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6~9</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cs="Times New Roman"/>
                      <w:color w:val="000000" w:themeColor="text1"/>
                      <w:sz w:val="21"/>
                      <w:szCs w:val="21"/>
                    </w:rPr>
                    <w:t>悬浮物</w:t>
                  </w:r>
                  <w:r>
                    <w:rPr>
                      <w:rFonts w:ascii="Times New Roman" w:hAnsi="Times New Roman" w:cs="Times New Roman"/>
                      <w:color w:val="000000" w:themeColor="text1"/>
                      <w:kern w:val="2"/>
                      <w:sz w:val="21"/>
                      <w:szCs w:val="21"/>
                    </w:rPr>
                    <w:t>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108</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84</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99</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122</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400</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化学需氧量mg/L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159</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249</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147</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207</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500</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氨氮mg/L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9.25</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10.2</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11.1</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8.45</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45</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总磷mg/L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1.44</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1.26</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1.32</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1.37</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8</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动植物油mg/L</w:t>
                  </w:r>
                </w:p>
              </w:tc>
              <w:tc>
                <w:tcPr>
                  <w:tcW w:w="492"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1.29</w:t>
                  </w:r>
                </w:p>
              </w:tc>
              <w:tc>
                <w:tcPr>
                  <w:tcW w:w="512"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1.14</w:t>
                  </w:r>
                </w:p>
              </w:tc>
              <w:tc>
                <w:tcPr>
                  <w:tcW w:w="540"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1.19</w:t>
                  </w:r>
                </w:p>
              </w:tc>
              <w:tc>
                <w:tcPr>
                  <w:tcW w:w="541" w:type="pct"/>
                  <w:tcBorders>
                    <w:top w:val="nil"/>
                    <w:left w:val="nil"/>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1.07</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100</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样品性状</w:t>
                  </w:r>
                </w:p>
              </w:tc>
              <w:tc>
                <w:tcPr>
                  <w:tcW w:w="49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1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4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4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pct"/>
                  <w:vMerge w:val="restar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2024.5.9</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pH值* 无量纲</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7.0</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7.0</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6.9</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6.8</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6~9</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cs="Times New Roman"/>
                      <w:color w:val="000000" w:themeColor="text1"/>
                      <w:sz w:val="21"/>
                      <w:szCs w:val="21"/>
                    </w:rPr>
                    <w:t>悬浮物</w:t>
                  </w:r>
                  <w:r>
                    <w:rPr>
                      <w:rFonts w:ascii="Times New Roman" w:hAnsi="Times New Roman" w:cs="Times New Roman"/>
                      <w:color w:val="000000" w:themeColor="text1"/>
                      <w:kern w:val="2"/>
                      <w:sz w:val="21"/>
                      <w:szCs w:val="21"/>
                    </w:rPr>
                    <w:t>mg/L</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138</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98</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152</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107</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400</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化学需氧量mg/L</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209</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184</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150</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241</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500</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氨氮mg/L</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16.3</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12.7</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10.0</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10.6</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45</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总磷mg/L</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1.40</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1.29</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1.26</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1.35</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8</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动植物油mg/L</w:t>
                  </w:r>
                </w:p>
              </w:tc>
              <w:tc>
                <w:tcPr>
                  <w:tcW w:w="49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1.15</w:t>
                  </w:r>
                </w:p>
              </w:tc>
              <w:tc>
                <w:tcPr>
                  <w:tcW w:w="512"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1.04</w:t>
                  </w:r>
                </w:p>
              </w:tc>
              <w:tc>
                <w:tcPr>
                  <w:tcW w:w="540"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1.09</w:t>
                  </w:r>
                </w:p>
              </w:tc>
              <w:tc>
                <w:tcPr>
                  <w:tcW w:w="541" w:type="pct"/>
                  <w:tcBorders>
                    <w:top w:val="nil"/>
                    <w:left w:val="nil"/>
                    <w:bottom w:val="single" w:color="auto" w:sz="8" w:space="0"/>
                    <w:right w:val="single" w:color="auto" w:sz="8" w:space="0"/>
                  </w:tcBorders>
                  <w:vAlign w:val="center"/>
                </w:tcPr>
                <w:p>
                  <w:pPr>
                    <w:widowControl/>
                    <w:jc w:val="center"/>
                    <w:rPr>
                      <w:rFonts w:ascii="Times New Roman" w:hAnsi="Times New Roman"/>
                      <w:color w:val="000000" w:themeColor="text1"/>
                      <w:kern w:val="2"/>
                      <w:sz w:val="21"/>
                      <w:szCs w:val="21"/>
                    </w:rPr>
                  </w:pPr>
                  <w:r>
                    <w:rPr>
                      <w:rFonts w:ascii="Times New Roman" w:hAnsi="Times New Roman"/>
                      <w:color w:val="000000" w:themeColor="text1"/>
                      <w:kern w:val="0"/>
                      <w:sz w:val="21"/>
                      <w:szCs w:val="21"/>
                    </w:rPr>
                    <w:t>1.01</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100</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kern w:val="0"/>
                      <w:sz w:val="21"/>
                      <w:szCs w:val="21"/>
                    </w:rPr>
                  </w:pPr>
                </w:p>
              </w:tc>
              <w:tc>
                <w:tcPr>
                  <w:tcW w:w="1159" w:type="pct"/>
                  <w:tcBorders>
                    <w:top w:val="single" w:color="auto" w:sz="4" w:space="0"/>
                    <w:left w:val="single" w:color="auto" w:sz="4" w:space="0"/>
                    <w:bottom w:val="single" w:color="auto" w:sz="4" w:space="0"/>
                    <w:right w:val="single" w:color="auto" w:sz="4" w:space="0"/>
                  </w:tcBorders>
                  <w:vAlign w:val="center"/>
                </w:tcPr>
                <w:p>
                  <w:pPr>
                    <w:pStyle w:val="82"/>
                    <w:autoSpaceDE/>
                    <w:snapToGrid w:val="0"/>
                    <w:spacing w:line="240" w:lineRule="auto"/>
                    <w:ind w:left="-105" w:leftChars="-50" w:right="-105" w:rightChars="-5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样品性状</w:t>
                  </w:r>
                </w:p>
              </w:tc>
              <w:tc>
                <w:tcPr>
                  <w:tcW w:w="49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1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4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54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themeColor="text1"/>
                      <w:kern w:val="2"/>
                      <w:sz w:val="21"/>
                      <w:szCs w:val="21"/>
                    </w:rPr>
                  </w:pPr>
                  <w:r>
                    <w:rPr>
                      <w:rFonts w:ascii="Times New Roman" w:hAnsi="宋体"/>
                      <w:color w:val="000000" w:themeColor="text1"/>
                      <w:kern w:val="0"/>
                      <w:sz w:val="21"/>
                      <w:szCs w:val="21"/>
                    </w:rPr>
                    <w:t>微黄微浑</w:t>
                  </w:r>
                </w:p>
              </w:tc>
              <w:tc>
                <w:tcPr>
                  <w:tcW w:w="355" w:type="pct"/>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w:t>
                  </w:r>
                </w:p>
              </w:tc>
              <w:tc>
                <w:tcPr>
                  <w:tcW w:w="314" w:type="pct"/>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Times New Roman" w:hAnsi="Times New Roman"/>
                      <w:color w:val="000000" w:themeColor="text1"/>
                      <w:kern w:val="0"/>
                      <w:sz w:val="21"/>
                      <w:szCs w:val="21"/>
                    </w:rPr>
                  </w:pPr>
                  <w:r>
                    <w:rPr>
                      <w:rFonts w:ascii="Times New Roman" w:hAnsi="Times New Roman"/>
                      <w:color w:val="000000" w:themeColor="text1"/>
                      <w:kern w:val="0"/>
                      <w:sz w:val="21"/>
                      <w:szCs w:val="21"/>
                    </w:rPr>
                    <w:t>/</w:t>
                  </w:r>
                </w:p>
              </w:tc>
            </w:tr>
          </w:tbl>
          <w:p>
            <w:pPr>
              <w:spacing w:line="360" w:lineRule="auto"/>
              <w:ind w:firstLine="480" w:firstLineChars="200"/>
              <w:rPr>
                <w:rFonts w:ascii="Times New Roman" w:hAnsi="Times New Roman"/>
                <w:kern w:val="0"/>
                <w:sz w:val="24"/>
              </w:rPr>
            </w:pPr>
            <w:r>
              <w:rPr>
                <w:rFonts w:ascii="Times New Roman"/>
                <w:kern w:val="0"/>
                <w:sz w:val="24"/>
              </w:rPr>
              <w:t>根据监测结果，</w:t>
            </w:r>
            <w:r>
              <w:rPr>
                <w:rFonts w:hint="eastAsia" w:ascii="Times New Roman" w:hAnsi="Times New Roman" w:cs="宋体"/>
                <w:color w:val="000000" w:themeColor="text1"/>
                <w:kern w:val="0"/>
                <w:sz w:val="24"/>
              </w:rPr>
              <w:t>废水排放口中</w:t>
            </w:r>
            <w:r>
              <w:rPr>
                <w:rFonts w:ascii="Times New Roman" w:hAnsi="Times New Roman" w:cs="宋体"/>
                <w:color w:val="000000" w:themeColor="text1"/>
                <w:kern w:val="0"/>
                <w:sz w:val="24"/>
              </w:rPr>
              <w:t>pH</w:t>
            </w:r>
            <w:r>
              <w:rPr>
                <w:rFonts w:hint="eastAsia" w:ascii="Times New Roman" w:hAnsi="Times New Roman" w:cs="宋体"/>
                <w:color w:val="000000" w:themeColor="text1"/>
                <w:kern w:val="0"/>
                <w:sz w:val="24"/>
              </w:rPr>
              <w:t>值、化学需氧量、悬浮物、五日生化需氧量、动植物油类检测值均符合《污水综合排放标准》（</w:t>
            </w:r>
            <w:r>
              <w:rPr>
                <w:rFonts w:ascii="Times New Roman" w:hAnsi="Times New Roman" w:cs="宋体"/>
                <w:color w:val="000000" w:themeColor="text1"/>
                <w:kern w:val="0"/>
                <w:sz w:val="24"/>
              </w:rPr>
              <w:t>GB 8978-1996</w:t>
            </w:r>
            <w:r>
              <w:rPr>
                <w:rFonts w:hint="eastAsia" w:ascii="Times New Roman" w:hAnsi="Times New Roman" w:cs="宋体"/>
                <w:color w:val="000000" w:themeColor="text1"/>
                <w:kern w:val="0"/>
                <w:sz w:val="24"/>
              </w:rPr>
              <w:t>）中第二类污染物三级排放标准的要求；氨氮、总磷检测值均符合</w:t>
            </w:r>
            <w:r>
              <w:rPr>
                <w:rFonts w:ascii="Times New Roman" w:hAnsi="Times New Roman" w:cs="宋体"/>
                <w:color w:val="000000" w:themeColor="text1"/>
                <w:kern w:val="0"/>
                <w:sz w:val="24"/>
              </w:rPr>
              <w:t>《污水排入城镇下水道水质标准》（GB/T31962-2015）</w:t>
            </w:r>
            <w:r>
              <w:rPr>
                <w:rFonts w:hint="eastAsia" w:ascii="Times New Roman" w:hAnsi="Times New Roman" w:cs="宋体"/>
                <w:color w:val="000000" w:themeColor="text1"/>
                <w:kern w:val="0"/>
                <w:sz w:val="24"/>
              </w:rPr>
              <w:t>相应标准的要求</w:t>
            </w:r>
            <w:r>
              <w:rPr>
                <w:rFonts w:ascii="Times New Roman"/>
                <w:kern w:val="0"/>
                <w:sz w:val="24"/>
              </w:rPr>
              <w:t>。</w:t>
            </w:r>
          </w:p>
          <w:p>
            <w:pPr>
              <w:spacing w:line="360" w:lineRule="auto"/>
              <w:ind w:firstLine="480" w:firstLineChars="200"/>
              <w:rPr>
                <w:rFonts w:ascii="Times New Roman" w:hAnsi="Times New Roman"/>
                <w:kern w:val="0"/>
                <w:sz w:val="24"/>
              </w:rPr>
            </w:pPr>
            <w:r>
              <w:rPr>
                <w:rFonts w:ascii="Times New Roman" w:hAnsi="Times New Roman"/>
                <w:kern w:val="0"/>
                <w:sz w:val="24"/>
              </w:rPr>
              <w:t>2</w:t>
            </w:r>
            <w:r>
              <w:rPr>
                <w:rFonts w:ascii="Times New Roman" w:hAnsi="Arial"/>
                <w:kern w:val="0"/>
                <w:sz w:val="24"/>
              </w:rPr>
              <w:t>、雨水</w:t>
            </w:r>
          </w:p>
          <w:p>
            <w:pPr>
              <w:spacing w:line="360" w:lineRule="auto"/>
              <w:ind w:firstLine="480" w:firstLineChars="200"/>
              <w:rPr>
                <w:rFonts w:ascii="Arial" w:hAnsi="Arial" w:cs="Arial"/>
                <w:kern w:val="0"/>
                <w:sz w:val="20"/>
                <w:szCs w:val="21"/>
              </w:rPr>
            </w:pPr>
            <w:r>
              <w:rPr>
                <w:rFonts w:ascii="Times New Roman" w:hAnsi="Arial"/>
                <w:kern w:val="0"/>
                <w:sz w:val="24"/>
              </w:rPr>
              <w:t>验收期间为晴天，无雨水。</w:t>
            </w:r>
          </w:p>
          <w:p>
            <w:pPr>
              <w:spacing w:line="360" w:lineRule="auto"/>
              <w:ind w:firstLine="482" w:firstLineChars="200"/>
              <w:rPr>
                <w:rFonts w:ascii="Times New Roman" w:hAnsi="Times New Roman"/>
                <w:b/>
                <w:bCs/>
                <w:kern w:val="0"/>
                <w:sz w:val="24"/>
              </w:rPr>
            </w:pPr>
            <w:r>
              <w:rPr>
                <w:rFonts w:ascii="Times New Roman" w:hAnsi="Times New Roman"/>
                <w:b/>
                <w:bCs/>
                <w:kern w:val="0"/>
                <w:sz w:val="24"/>
              </w:rPr>
              <w:t>7.2.2</w:t>
            </w:r>
            <w:r>
              <w:rPr>
                <w:rFonts w:ascii="Times New Roman" w:hAnsi="Arial"/>
                <w:b/>
                <w:bCs/>
                <w:kern w:val="0"/>
                <w:sz w:val="24"/>
              </w:rPr>
              <w:t>废气</w:t>
            </w:r>
          </w:p>
          <w:p>
            <w:pPr>
              <w:spacing w:line="360" w:lineRule="auto"/>
              <w:ind w:firstLine="480" w:firstLineChars="200"/>
              <w:rPr>
                <w:rFonts w:ascii="Times New Roman" w:hAnsi="Times New Roman"/>
                <w:kern w:val="0"/>
                <w:sz w:val="24"/>
              </w:rPr>
            </w:pPr>
            <w:r>
              <w:rPr>
                <w:rFonts w:ascii="Times New Roman" w:hAnsi="Arial"/>
                <w:kern w:val="0"/>
                <w:sz w:val="24"/>
              </w:rPr>
              <w:t>（</w:t>
            </w:r>
            <w:r>
              <w:rPr>
                <w:rFonts w:ascii="Times New Roman" w:hAnsi="Times New Roman"/>
                <w:kern w:val="0"/>
                <w:sz w:val="24"/>
              </w:rPr>
              <w:t>1</w:t>
            </w:r>
            <w:r>
              <w:rPr>
                <w:rFonts w:ascii="Times New Roman" w:hAnsi="Arial"/>
                <w:kern w:val="0"/>
                <w:sz w:val="24"/>
              </w:rPr>
              <w:t>）天然气锅炉燃烧废气</w:t>
            </w:r>
          </w:p>
          <w:p>
            <w:pPr>
              <w:spacing w:line="360" w:lineRule="auto"/>
              <w:ind w:firstLine="480" w:firstLineChars="200"/>
              <w:rPr>
                <w:rFonts w:ascii="Times New Roman" w:hAnsi="Times New Roman"/>
                <w:kern w:val="0"/>
                <w:sz w:val="24"/>
              </w:rPr>
            </w:pPr>
            <w:r>
              <w:rPr>
                <w:rFonts w:ascii="Times New Roman" w:hAnsi="Arial"/>
                <w:color w:val="FF0000"/>
                <w:kern w:val="0"/>
                <w:sz w:val="24"/>
              </w:rPr>
              <w:t>项目</w:t>
            </w:r>
            <w:r>
              <w:rPr>
                <w:rFonts w:hint="eastAsia" w:ascii="Times New Roman" w:hAnsi="Arial"/>
                <w:color w:val="FF0000"/>
                <w:kern w:val="0"/>
                <w:sz w:val="24"/>
                <w:lang w:val="en-US" w:eastAsia="zh-CN"/>
              </w:rPr>
              <w:t>现状共设两台天然气锅炉，一</w:t>
            </w:r>
            <w:r>
              <w:rPr>
                <w:rFonts w:hint="eastAsia" w:ascii="Times New Roman" w:hAnsi="Arial"/>
                <w:color w:val="FF0000"/>
                <w:kern w:val="0"/>
                <w:sz w:val="24"/>
              </w:rPr>
              <w:t>用一备，型号分别为0.8</w:t>
            </w:r>
            <w:r>
              <w:rPr>
                <w:rFonts w:hint="eastAsia" w:ascii="Times New Roman" w:hAnsi="Arial"/>
                <w:color w:val="FF0000"/>
                <w:kern w:val="0"/>
                <w:sz w:val="24"/>
                <w:lang w:val="en-US" w:eastAsia="zh-CN"/>
              </w:rPr>
              <w:t>3</w:t>
            </w:r>
            <w:r>
              <w:rPr>
                <w:rFonts w:hint="eastAsia" w:ascii="Times New Roman" w:hAnsi="Arial"/>
                <w:color w:val="FF0000"/>
                <w:kern w:val="0"/>
                <w:sz w:val="24"/>
              </w:rPr>
              <w:t>吨、0.5吨，锅炉废气</w:t>
            </w:r>
            <w:r>
              <w:rPr>
                <w:rFonts w:hint="eastAsia" w:ascii="Times New Roman" w:hAnsi="Arial"/>
                <w:color w:val="FF0000"/>
                <w:kern w:val="0"/>
                <w:sz w:val="24"/>
                <w:lang w:val="en-US" w:eastAsia="zh-CN"/>
              </w:rPr>
              <w:t>分别</w:t>
            </w:r>
            <w:r>
              <w:rPr>
                <w:rFonts w:hint="eastAsia" w:ascii="Times New Roman" w:hAnsi="Arial"/>
                <w:color w:val="FF0000"/>
                <w:kern w:val="0"/>
                <w:sz w:val="24"/>
              </w:rPr>
              <w:t>经</w:t>
            </w:r>
            <w:r>
              <w:rPr>
                <w:rFonts w:hint="eastAsia" w:ascii="Times New Roman" w:hAnsi="Arial"/>
                <w:color w:val="FF0000"/>
                <w:kern w:val="0"/>
                <w:sz w:val="24"/>
                <w:lang w:val="en-US" w:eastAsia="zh-CN"/>
              </w:rPr>
              <w:t>配套</w:t>
            </w:r>
            <w:r>
              <w:rPr>
                <w:rFonts w:hint="eastAsia" w:ascii="Times New Roman" w:hAnsi="Arial"/>
                <w:color w:val="FF0000"/>
                <w:kern w:val="0"/>
                <w:sz w:val="24"/>
              </w:rPr>
              <w:t>排烟系统收集后</w:t>
            </w:r>
            <w:r>
              <w:rPr>
                <w:rFonts w:hint="eastAsia" w:ascii="Times New Roman" w:hAnsi="Arial"/>
                <w:color w:val="FF0000"/>
                <w:kern w:val="0"/>
                <w:sz w:val="24"/>
                <w:lang w:val="en-US" w:eastAsia="zh-CN"/>
              </w:rPr>
              <w:t>汇总，</w:t>
            </w:r>
            <w:r>
              <w:rPr>
                <w:rFonts w:ascii="Times New Roman" w:hAnsi="Arial"/>
                <w:color w:val="FF0000"/>
                <w:kern w:val="0"/>
                <w:sz w:val="24"/>
              </w:rPr>
              <w:t>通过1个专用烟气井高空排放</w:t>
            </w:r>
            <w:r>
              <w:rPr>
                <w:rFonts w:ascii="Times New Roman" w:hAnsi="Arial"/>
                <w:kern w:val="0"/>
                <w:sz w:val="24"/>
              </w:rPr>
              <w:t>，</w:t>
            </w:r>
            <w:r>
              <w:rPr>
                <w:rFonts w:hint="eastAsia" w:ascii="Times New Roman" w:hAnsi="Arial"/>
                <w:kern w:val="0"/>
                <w:sz w:val="24"/>
              </w:rPr>
              <w:t>原环评未对天然气燃烧废气污染物排放量进行核算，</w:t>
            </w:r>
            <w:r>
              <w:rPr>
                <w:rFonts w:ascii="Times New Roman" w:hAnsi="Arial"/>
                <w:kern w:val="0"/>
                <w:sz w:val="24"/>
              </w:rPr>
              <w:t>锅炉烟气监测结果</w:t>
            </w:r>
            <w:r>
              <w:rPr>
                <w:rFonts w:hint="eastAsia" w:ascii="Times New Roman" w:hAnsi="Arial"/>
                <w:kern w:val="0"/>
                <w:sz w:val="24"/>
              </w:rPr>
              <w:t>见</w:t>
            </w:r>
            <w:r>
              <w:rPr>
                <w:rFonts w:ascii="Times New Roman" w:hAnsi="Times New Roman"/>
                <w:kern w:val="0"/>
                <w:sz w:val="24"/>
              </w:rPr>
              <w:t>7-3</w:t>
            </w:r>
            <w:r>
              <w:rPr>
                <w:rFonts w:ascii="Times New Roman" w:hAnsi="Arial"/>
                <w:kern w:val="0"/>
                <w:sz w:val="24"/>
              </w:rPr>
              <w:t>、表</w:t>
            </w:r>
            <w:r>
              <w:rPr>
                <w:rFonts w:ascii="Times New Roman" w:hAnsi="Times New Roman"/>
                <w:kern w:val="0"/>
                <w:sz w:val="24"/>
              </w:rPr>
              <w:t>7-4</w:t>
            </w:r>
            <w:r>
              <w:rPr>
                <w:rFonts w:ascii="Times New Roman" w:hAnsi="Arial"/>
                <w:kern w:val="0"/>
                <w:sz w:val="24"/>
              </w:rPr>
              <w:t>。</w:t>
            </w:r>
          </w:p>
          <w:p>
            <w:pPr>
              <w:spacing w:line="360" w:lineRule="auto"/>
              <w:ind w:firstLine="480" w:firstLineChars="200"/>
              <w:rPr>
                <w:rFonts w:ascii="Times New Roman" w:hAnsi="Arial"/>
                <w:kern w:val="0"/>
                <w:sz w:val="24"/>
              </w:rPr>
            </w:pPr>
            <w:r>
              <w:rPr>
                <w:rFonts w:ascii="Times New Roman" w:hAnsi="Arial"/>
                <w:kern w:val="0"/>
                <w:sz w:val="24"/>
              </w:rPr>
              <w:t>根据《关于进一步明确杭州市燃气锅炉低氮改造有关事项的通知》（杭大气办</w:t>
            </w:r>
            <w:r>
              <w:rPr>
                <w:rFonts w:ascii="Times New Roman" w:hAnsi="Times New Roman"/>
                <w:kern w:val="0"/>
                <w:sz w:val="24"/>
              </w:rPr>
              <w:t>[2020]13</w:t>
            </w:r>
            <w:r>
              <w:rPr>
                <w:rFonts w:ascii="Times New Roman" w:hAnsi="Arial"/>
                <w:kern w:val="0"/>
                <w:sz w:val="24"/>
              </w:rPr>
              <w:t>号），额定热功率</w:t>
            </w:r>
            <w:r>
              <w:rPr>
                <w:rFonts w:ascii="Times New Roman" w:hAnsi="Times New Roman"/>
                <w:kern w:val="0"/>
                <w:sz w:val="24"/>
              </w:rPr>
              <w:t>0.7MW</w:t>
            </w:r>
            <w:r>
              <w:rPr>
                <w:rFonts w:ascii="Times New Roman" w:hAnsi="Arial"/>
                <w:kern w:val="0"/>
                <w:sz w:val="24"/>
              </w:rPr>
              <w:t>（额定蒸发量</w:t>
            </w:r>
            <w:r>
              <w:rPr>
                <w:rFonts w:ascii="Times New Roman" w:hAnsi="Times New Roman"/>
                <w:kern w:val="0"/>
                <w:sz w:val="24"/>
              </w:rPr>
              <w:t>1</w:t>
            </w:r>
            <w:r>
              <w:rPr>
                <w:rFonts w:ascii="Times New Roman" w:hAnsi="Arial"/>
                <w:kern w:val="0"/>
                <w:sz w:val="24"/>
              </w:rPr>
              <w:t>蒸吨</w:t>
            </w:r>
            <w:r>
              <w:rPr>
                <w:rFonts w:ascii="Times New Roman" w:hAnsi="Times New Roman"/>
                <w:kern w:val="0"/>
                <w:sz w:val="24"/>
              </w:rPr>
              <w:t>/</w:t>
            </w:r>
            <w:r>
              <w:rPr>
                <w:rFonts w:ascii="Times New Roman" w:hAnsi="Arial"/>
                <w:kern w:val="0"/>
                <w:sz w:val="24"/>
              </w:rPr>
              <w:t>小时）及以上的民用燃气锅炉和额定热功率等于</w:t>
            </w:r>
            <w:r>
              <w:rPr>
                <w:rFonts w:ascii="Times New Roman" w:hAnsi="Times New Roman"/>
                <w:kern w:val="0"/>
                <w:sz w:val="24"/>
              </w:rPr>
              <w:t>0.7MW</w:t>
            </w:r>
            <w:r>
              <w:rPr>
                <w:rFonts w:ascii="Times New Roman" w:hAnsi="Arial"/>
                <w:kern w:val="0"/>
                <w:sz w:val="24"/>
              </w:rPr>
              <w:t>（额定蒸发量</w:t>
            </w:r>
            <w:r>
              <w:rPr>
                <w:rFonts w:ascii="Times New Roman" w:hAnsi="Times New Roman"/>
                <w:kern w:val="0"/>
                <w:sz w:val="24"/>
              </w:rPr>
              <w:t xml:space="preserve"> 1</w:t>
            </w:r>
            <w:r>
              <w:rPr>
                <w:rFonts w:ascii="Times New Roman" w:hAnsi="Arial"/>
                <w:kern w:val="0"/>
                <w:sz w:val="24"/>
              </w:rPr>
              <w:t>蒸吨</w:t>
            </w:r>
            <w:r>
              <w:rPr>
                <w:rFonts w:ascii="Times New Roman" w:hAnsi="Times New Roman"/>
                <w:kern w:val="0"/>
                <w:sz w:val="24"/>
              </w:rPr>
              <w:t>/</w:t>
            </w:r>
            <w:r>
              <w:rPr>
                <w:rFonts w:ascii="Times New Roman" w:hAnsi="Arial"/>
                <w:kern w:val="0"/>
                <w:sz w:val="24"/>
              </w:rPr>
              <w:t>小时）的工业燃气锅炉应完成低氮改造工作，</w:t>
            </w:r>
            <w:r>
              <w:rPr>
                <w:rFonts w:hint="eastAsia" w:ascii="Times New Roman" w:hAnsi="Arial"/>
                <w:kern w:val="0"/>
                <w:sz w:val="24"/>
              </w:rPr>
              <w:t>因此未要求本项目所用天然气锅炉污染物排放执行低氮燃烧要求</w:t>
            </w:r>
            <w:r>
              <w:rPr>
                <w:rFonts w:ascii="Times New Roman" w:hAnsi="Arial"/>
                <w:kern w:val="0"/>
                <w:sz w:val="24"/>
              </w:rPr>
              <w:t>。</w:t>
            </w:r>
          </w:p>
          <w:p>
            <w:pPr>
              <w:spacing w:line="360" w:lineRule="auto"/>
              <w:jc w:val="center"/>
              <w:rPr>
                <w:rFonts w:ascii="Times New Roman" w:hAnsi="Arial"/>
                <w:b/>
                <w:kern w:val="0"/>
                <w:sz w:val="20"/>
                <w:szCs w:val="21"/>
              </w:rPr>
            </w:pPr>
            <w:r>
              <w:rPr>
                <w:rFonts w:ascii="Times New Roman" w:hAnsi="Arial"/>
                <w:b/>
                <w:kern w:val="0"/>
                <w:sz w:val="20"/>
                <w:szCs w:val="21"/>
              </w:rPr>
              <w:t>表</w:t>
            </w:r>
            <w:r>
              <w:rPr>
                <w:rFonts w:ascii="Times New Roman" w:hAnsi="Times New Roman"/>
                <w:b/>
                <w:kern w:val="0"/>
                <w:sz w:val="20"/>
                <w:szCs w:val="21"/>
              </w:rPr>
              <w:t>7-</w:t>
            </w:r>
            <w:r>
              <w:rPr>
                <w:rFonts w:hint="eastAsia" w:ascii="Times New Roman" w:hAnsi="Times New Roman"/>
                <w:b/>
                <w:kern w:val="0"/>
                <w:sz w:val="20"/>
                <w:szCs w:val="21"/>
              </w:rPr>
              <w:t>2</w:t>
            </w:r>
            <w:r>
              <w:rPr>
                <w:rFonts w:ascii="Times New Roman" w:hAnsi="Times New Roman"/>
                <w:b/>
                <w:kern w:val="0"/>
                <w:sz w:val="20"/>
                <w:szCs w:val="21"/>
              </w:rPr>
              <w:t xml:space="preserve"> </w:t>
            </w:r>
            <w:r>
              <w:rPr>
                <w:rFonts w:ascii="Times New Roman" w:hAnsi="Arial"/>
                <w:b/>
                <w:kern w:val="0"/>
                <w:sz w:val="20"/>
                <w:szCs w:val="21"/>
              </w:rPr>
              <w:t>天然气热水锅炉烟气监测结果</w:t>
            </w:r>
          </w:p>
          <w:tbl>
            <w:tblPr>
              <w:tblStyle w:val="33"/>
              <w:tblW w:w="83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6"/>
              <w:gridCol w:w="1031"/>
              <w:gridCol w:w="1144"/>
              <w:gridCol w:w="1144"/>
              <w:gridCol w:w="1144"/>
              <w:gridCol w:w="1144"/>
              <w:gridCol w:w="1144"/>
              <w:gridCol w:w="1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工艺设备名称及型号</w:t>
                  </w:r>
                </w:p>
              </w:tc>
              <w:tc>
                <w:tcPr>
                  <w:tcW w:w="6771" w:type="dxa"/>
                  <w:gridSpan w:val="6"/>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hint="eastAsia" w:ascii="Times New Roman"/>
                      <w:szCs w:val="21"/>
                    </w:rPr>
                    <w:t>锅炉废气排气筒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净化器名称及型号</w:t>
                  </w:r>
                </w:p>
              </w:tc>
              <w:tc>
                <w:tcPr>
                  <w:tcW w:w="6771" w:type="dxa"/>
                  <w:gridSpan w:val="6"/>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hint="eastAsia" w:ascii="Times New Roman"/>
                      <w:szCs w:val="21"/>
                    </w:rPr>
                    <w:t>低氮燃烧器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燃料类别</w:t>
                  </w:r>
                </w:p>
              </w:tc>
              <w:tc>
                <w:tcPr>
                  <w:tcW w:w="6771" w:type="dxa"/>
                  <w:gridSpan w:val="6"/>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hint="eastAsia" w:ascii="Times New Roman"/>
                      <w:szCs w:val="21"/>
                    </w:rPr>
                    <w:t>天然气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测试断面</w:t>
                  </w:r>
                </w:p>
              </w:tc>
              <w:tc>
                <w:tcPr>
                  <w:tcW w:w="6771" w:type="dxa"/>
                  <w:gridSpan w:val="6"/>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imes New Roman"/>
                      <w:szCs w:val="21"/>
                    </w:rPr>
                    <w:t>废气出口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采样日期</w:t>
                  </w:r>
                </w:p>
              </w:tc>
              <w:tc>
                <w:tcPr>
                  <w:tcW w:w="3386" w:type="dxa"/>
                  <w:gridSpan w:val="3"/>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2024.05.08</w:t>
                  </w:r>
                </w:p>
              </w:tc>
              <w:tc>
                <w:tcPr>
                  <w:tcW w:w="3386" w:type="dxa"/>
                  <w:gridSpan w:val="3"/>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2024.05.09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排气筒高度（</w:t>
                  </w:r>
                  <w:r>
                    <w:rPr>
                      <w:rFonts w:ascii="Times New Roman" w:hAnsi="Times New Roman"/>
                      <w:szCs w:val="21"/>
                    </w:rPr>
                    <w:t>m</w:t>
                  </w:r>
                  <w:r>
                    <w:rPr>
                      <w:rFonts w:hint="eastAsia" w:ascii="Times New Roman"/>
                      <w:szCs w:val="21"/>
                    </w:rPr>
                    <w:t>）</w:t>
                  </w:r>
                </w:p>
              </w:tc>
              <w:tc>
                <w:tcPr>
                  <w:tcW w:w="3386" w:type="dxa"/>
                  <w:gridSpan w:val="3"/>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15</w:t>
                  </w:r>
                </w:p>
              </w:tc>
              <w:tc>
                <w:tcPr>
                  <w:tcW w:w="3386" w:type="dxa"/>
                  <w:gridSpan w:val="3"/>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测点烟气温度</w:t>
                  </w:r>
                  <w:r>
                    <w:rPr>
                      <w:rFonts w:ascii="Times New Roman" w:hAnsi="Times New Roman"/>
                      <w:szCs w:val="21"/>
                    </w:rPr>
                    <w:t xml:space="preserve"> (</w:t>
                  </w:r>
                  <w:r>
                    <w:rPr>
                      <w:rFonts w:hint="eastAsia" w:ascii="宋体" w:hAnsi="宋体" w:cs="宋体"/>
                      <w:szCs w:val="21"/>
                    </w:rPr>
                    <w:t>℃</w:t>
                  </w:r>
                  <w:r>
                    <w:rPr>
                      <w:rFonts w:ascii="Times New Roman" w:hAnsi="Times New Roman"/>
                      <w:szCs w:val="21"/>
                    </w:rPr>
                    <w:t>)</w:t>
                  </w:r>
                </w:p>
              </w:tc>
              <w:tc>
                <w:tcPr>
                  <w:tcW w:w="112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105</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104</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103</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108</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107</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烟气含湿量</w:t>
                  </w:r>
                  <w:r>
                    <w:rPr>
                      <w:rFonts w:ascii="Times New Roman" w:hAnsi="Times New Roman"/>
                      <w:szCs w:val="21"/>
                    </w:rPr>
                    <w:t xml:space="preserve"> (</w:t>
                  </w:r>
                  <w:r>
                    <w:rPr>
                      <w:rFonts w:hint="eastAsia" w:ascii="Times New Roman"/>
                      <w:szCs w:val="21"/>
                    </w:rPr>
                    <w:t>％</w:t>
                  </w:r>
                  <w:r>
                    <w:rPr>
                      <w:rFonts w:ascii="Times New Roman" w:hAnsi="Times New Roman"/>
                      <w:szCs w:val="21"/>
                    </w:rPr>
                    <w:t>)</w:t>
                  </w:r>
                </w:p>
              </w:tc>
              <w:tc>
                <w:tcPr>
                  <w:tcW w:w="112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2.8</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2.8</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测点烟气流速</w:t>
                  </w:r>
                  <w:r>
                    <w:rPr>
                      <w:rFonts w:ascii="Times New Roman" w:hAnsi="Times New Roman"/>
                      <w:szCs w:val="21"/>
                    </w:rPr>
                    <w:t xml:space="preserve"> (m/s)</w:t>
                  </w:r>
                </w:p>
              </w:tc>
              <w:tc>
                <w:tcPr>
                  <w:tcW w:w="112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6.9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7.0</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7.1</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7.0</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6.9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bCs/>
                      <w:szCs w:val="21"/>
                    </w:rPr>
                  </w:pPr>
                  <w:r>
                    <w:rPr>
                      <w:rFonts w:hint="eastAsia" w:ascii="Times New Roman"/>
                      <w:szCs w:val="21"/>
                    </w:rPr>
                    <w:t>实测烟气量</w:t>
                  </w:r>
                  <w:r>
                    <w:rPr>
                      <w:rFonts w:ascii="Times New Roman" w:hAnsi="Times New Roman"/>
                      <w:szCs w:val="21"/>
                    </w:rPr>
                    <w:t xml:space="preserve"> (m</w:t>
                  </w:r>
                  <w:r>
                    <w:rPr>
                      <w:rFonts w:ascii="Times New Roman" w:hAnsi="Times New Roman"/>
                      <w:szCs w:val="21"/>
                      <w:vertAlign w:val="superscript"/>
                    </w:rPr>
                    <w:t>3</w:t>
                  </w:r>
                  <w:r>
                    <w:rPr>
                      <w:rFonts w:ascii="Times New Roman" w:hAnsi="Times New Roman"/>
                      <w:szCs w:val="21"/>
                    </w:rPr>
                    <w:t>/h)</w:t>
                  </w:r>
                </w:p>
              </w:tc>
              <w:tc>
                <w:tcPr>
                  <w:tcW w:w="112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1.22×10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1.24×10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1.25×10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1.24×10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1.21×10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1.26×10</w:t>
                  </w:r>
                  <w:r>
                    <w:rPr>
                      <w:rFonts w:ascii="Times New Roman" w:hAnsi="Times New Roman"/>
                      <w:bCs/>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bCs/>
                      <w:szCs w:val="21"/>
                    </w:rPr>
                  </w:pPr>
                  <w:r>
                    <w:rPr>
                      <w:rFonts w:hint="eastAsia" w:ascii="Times New Roman"/>
                      <w:szCs w:val="21"/>
                    </w:rPr>
                    <w:t>标态干烟气量（</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r>
                    <w:rPr>
                      <w:rFonts w:hint="eastAsia" w:ascii="Times New Roman"/>
                      <w:szCs w:val="21"/>
                    </w:rPr>
                    <w:t>）</w:t>
                  </w:r>
                </w:p>
              </w:tc>
              <w:tc>
                <w:tcPr>
                  <w:tcW w:w="112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848</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862</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876</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858</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852</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含氧量</w:t>
                  </w:r>
                  <w:r>
                    <w:rPr>
                      <w:rFonts w:ascii="Times New Roman" w:hAnsi="Times New Roman"/>
                      <w:szCs w:val="21"/>
                    </w:rPr>
                    <w:t>(</w:t>
                  </w:r>
                  <w:r>
                    <w:rPr>
                      <w:rFonts w:hint="eastAsia" w:ascii="Times New Roman"/>
                      <w:szCs w:val="21"/>
                    </w:rPr>
                    <w:t>％</w:t>
                  </w:r>
                  <w:r>
                    <w:rPr>
                      <w:rFonts w:ascii="Times New Roman" w:hAnsi="Times New Roman"/>
                      <w:szCs w:val="21"/>
                    </w:rPr>
                    <w:t>)</w:t>
                  </w:r>
                </w:p>
              </w:tc>
              <w:tc>
                <w:tcPr>
                  <w:tcW w:w="112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15.7</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15.5</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15.4</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15.5</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15.4</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基准氧含量</w:t>
                  </w:r>
                  <w:r>
                    <w:rPr>
                      <w:rFonts w:ascii="Times New Roman" w:hAnsi="Times New Roman"/>
                      <w:szCs w:val="21"/>
                    </w:rPr>
                    <w:t>(</w:t>
                  </w:r>
                  <w:r>
                    <w:rPr>
                      <w:rFonts w:hint="eastAsia" w:ascii="Times New Roman"/>
                      <w:szCs w:val="21"/>
                    </w:rPr>
                    <w:t>％</w:t>
                  </w:r>
                  <w:r>
                    <w:rPr>
                      <w:rFonts w:ascii="Times New Roman" w:hAnsi="Times New Roman"/>
                      <w:szCs w:val="21"/>
                    </w:rPr>
                    <w:t>)</w:t>
                  </w:r>
                </w:p>
              </w:tc>
              <w:tc>
                <w:tcPr>
                  <w:tcW w:w="112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3.5</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3.5</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3.5</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3.5</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3.5</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管道截面积（</w:t>
                  </w:r>
                  <w:r>
                    <w:rPr>
                      <w:rFonts w:ascii="Times New Roman" w:hAnsi="Times New Roman"/>
                      <w:szCs w:val="21"/>
                    </w:rPr>
                    <w:t>m</w:t>
                  </w:r>
                  <w:r>
                    <w:rPr>
                      <w:rFonts w:ascii="Times New Roman" w:hAnsi="Times New Roman"/>
                      <w:szCs w:val="21"/>
                      <w:vertAlign w:val="superscript"/>
                    </w:rPr>
                    <w:t>2</w:t>
                  </w:r>
                  <w:r>
                    <w:rPr>
                      <w:rFonts w:hint="eastAsia" w:ascii="Times New Roman"/>
                      <w:szCs w:val="21"/>
                    </w:rPr>
                    <w:t>）</w:t>
                  </w:r>
                </w:p>
              </w:tc>
              <w:tc>
                <w:tcPr>
                  <w:tcW w:w="112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0.049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0.049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0.049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0.049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0.049</w:t>
                  </w:r>
                </w:p>
              </w:tc>
              <w:tc>
                <w:tcPr>
                  <w:tcW w:w="112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5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颗粒物</w:t>
                  </w:r>
                </w:p>
              </w:tc>
              <w:tc>
                <w:tcPr>
                  <w:tcW w:w="1108"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污染物浓度</w:t>
                  </w:r>
                  <w:r>
                    <w:rPr>
                      <w:rFonts w:ascii="Times New Roman" w:hAnsi="Times New Roman"/>
                      <w:szCs w:val="21"/>
                    </w:rPr>
                    <w:t xml:space="preserve"> (mg/m</w:t>
                  </w:r>
                  <w:r>
                    <w:rPr>
                      <w:rFonts w:ascii="Times New Roman" w:hAnsi="Times New Roman"/>
                      <w:szCs w:val="21"/>
                      <w:vertAlign w:val="superscript"/>
                    </w:rPr>
                    <w:t>3</w:t>
                  </w:r>
                  <w:r>
                    <w:rPr>
                      <w:rFonts w:ascii="Times New Roman" w:hAnsi="Times New Roman"/>
                      <w:szCs w:val="21"/>
                    </w:rPr>
                    <w:t>)</w:t>
                  </w:r>
                </w:p>
              </w:tc>
              <w:tc>
                <w:tcPr>
                  <w:tcW w:w="11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szCs w:val="21"/>
                    </w:rPr>
                    <w:t>4.4</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szCs w:val="21"/>
                    </w:rPr>
                    <w:t>4.3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szCs w:val="21"/>
                    </w:rPr>
                    <w:t>3.3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szCs w:val="21"/>
                    </w:rPr>
                    <w:t>5.0</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szCs w:val="21"/>
                    </w:rPr>
                    <w:t>4.6</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szCs w:val="21"/>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4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Theme="minorEastAsia"/>
                      <w:szCs w:val="21"/>
                    </w:rPr>
                  </w:pPr>
                </w:p>
              </w:tc>
              <w:tc>
                <w:tcPr>
                  <w:tcW w:w="1108"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基准氧含量排放浓度</w:t>
                  </w:r>
                  <w:r>
                    <w:rPr>
                      <w:rFonts w:ascii="Times New Roman" w:hAnsi="Times New Roman"/>
                      <w:szCs w:val="21"/>
                    </w:rPr>
                    <w:t xml:space="preserve"> (mg/m</w:t>
                  </w:r>
                  <w:r>
                    <w:rPr>
                      <w:rFonts w:ascii="Times New Roman" w:hAnsi="Times New Roman"/>
                      <w:szCs w:val="21"/>
                      <w:vertAlign w:val="superscript"/>
                    </w:rPr>
                    <w:t>3</w:t>
                  </w:r>
                  <w:r>
                    <w:rPr>
                      <w:rFonts w:ascii="Times New Roman" w:hAnsi="Times New Roman"/>
                      <w:szCs w:val="21"/>
                    </w:rPr>
                    <w:t>)</w:t>
                  </w:r>
                </w:p>
              </w:tc>
              <w:tc>
                <w:tcPr>
                  <w:tcW w:w="11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szCs w:val="21"/>
                    </w:rPr>
                    <w:t>14.5</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13.7</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10.3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szCs w:val="21"/>
                    </w:rPr>
                    <w:t>15.9</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14.4</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4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Theme="minorEastAsia"/>
                      <w:szCs w:val="21"/>
                    </w:rPr>
                  </w:pPr>
                </w:p>
              </w:tc>
              <w:tc>
                <w:tcPr>
                  <w:tcW w:w="1108"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污染物排放速率</w:t>
                  </w:r>
                  <w:r>
                    <w:rPr>
                      <w:rFonts w:ascii="Times New Roman" w:hAnsi="Times New Roman"/>
                      <w:szCs w:val="21"/>
                    </w:rPr>
                    <w:t xml:space="preserve"> (kg/h)</w:t>
                  </w:r>
                </w:p>
              </w:tc>
              <w:tc>
                <w:tcPr>
                  <w:tcW w:w="11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bCs/>
                      <w:szCs w:val="21"/>
                    </w:rPr>
                    <w:t>3.73×10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3.71×10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2.89×10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bCs/>
                      <w:szCs w:val="21"/>
                    </w:rPr>
                    <w:t>4.29×10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3.92×10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4.09×10</w:t>
                  </w:r>
                  <w:r>
                    <w:rPr>
                      <w:rFonts w:ascii="Times New Roman" w:hAnsi="Times New Roman"/>
                      <w:bCs/>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45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氮氧</w:t>
                  </w:r>
                </w:p>
                <w:p>
                  <w:pPr>
                    <w:jc w:val="center"/>
                    <w:rPr>
                      <w:rFonts w:ascii="Times New Roman" w:hAnsi="Times New Roman" w:eastAsiaTheme="minorEastAsia"/>
                      <w:szCs w:val="21"/>
                    </w:rPr>
                  </w:pPr>
                  <w:r>
                    <w:rPr>
                      <w:rFonts w:hint="eastAsia" w:ascii="Times New Roman"/>
                      <w:szCs w:val="21"/>
                    </w:rPr>
                    <w:t>化物</w:t>
                  </w:r>
                </w:p>
              </w:tc>
              <w:tc>
                <w:tcPr>
                  <w:tcW w:w="1108"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污染物浓度</w:t>
                  </w:r>
                  <w:r>
                    <w:rPr>
                      <w:rFonts w:ascii="Times New Roman" w:hAnsi="Times New Roman"/>
                      <w:szCs w:val="21"/>
                    </w:rPr>
                    <w:t xml:space="preserve"> (mg/m</w:t>
                  </w:r>
                  <w:r>
                    <w:rPr>
                      <w:rFonts w:ascii="Times New Roman" w:hAnsi="Times New Roman"/>
                      <w:szCs w:val="21"/>
                      <w:vertAlign w:val="superscript"/>
                    </w:rPr>
                    <w:t>3</w:t>
                  </w:r>
                  <w:r>
                    <w:rPr>
                      <w:rFonts w:ascii="Times New Roman" w:hAnsi="Times New Roman"/>
                      <w:szCs w:val="21"/>
                    </w:rPr>
                    <w:t>)</w:t>
                  </w:r>
                </w:p>
              </w:tc>
              <w:tc>
                <w:tcPr>
                  <w:tcW w:w="11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11</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11</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12</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14</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4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Theme="minorEastAsia"/>
                      <w:szCs w:val="21"/>
                    </w:rPr>
                  </w:pPr>
                </w:p>
              </w:tc>
              <w:tc>
                <w:tcPr>
                  <w:tcW w:w="1108"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基准氧含量排放浓度</w:t>
                  </w:r>
                  <w:r>
                    <w:rPr>
                      <w:rFonts w:ascii="Times New Roman" w:hAnsi="Times New Roman"/>
                      <w:szCs w:val="21"/>
                    </w:rPr>
                    <w:t xml:space="preserve"> (mg/m</w:t>
                  </w:r>
                  <w:r>
                    <w:rPr>
                      <w:rFonts w:ascii="Times New Roman" w:hAnsi="Times New Roman"/>
                      <w:szCs w:val="21"/>
                      <w:vertAlign w:val="superscript"/>
                    </w:rPr>
                    <w:t>3</w:t>
                  </w:r>
                  <w:r>
                    <w:rPr>
                      <w:rFonts w:ascii="Times New Roman" w:hAnsi="Times New Roman"/>
                      <w:szCs w:val="21"/>
                    </w:rPr>
                    <w:t>)</w:t>
                  </w:r>
                </w:p>
              </w:tc>
              <w:tc>
                <w:tcPr>
                  <w:tcW w:w="11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36</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35</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38</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45</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41</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4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Theme="minorEastAsia"/>
                      <w:szCs w:val="21"/>
                    </w:rPr>
                  </w:pPr>
                </w:p>
              </w:tc>
              <w:tc>
                <w:tcPr>
                  <w:tcW w:w="1108"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污染物排放速率</w:t>
                  </w:r>
                  <w:r>
                    <w:rPr>
                      <w:rFonts w:ascii="Times New Roman" w:hAnsi="Times New Roman"/>
                      <w:szCs w:val="21"/>
                    </w:rPr>
                    <w:t>(kg/h)</w:t>
                  </w:r>
                </w:p>
              </w:tc>
              <w:tc>
                <w:tcPr>
                  <w:tcW w:w="11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9.33×10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9.48×10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1.05×10</w:t>
                  </w:r>
                  <w:r>
                    <w:rPr>
                      <w:rFonts w:ascii="Times New Roman" w:hAnsi="Times New Roman"/>
                      <w:bCs/>
                      <w:szCs w:val="21"/>
                      <w:vertAlign w:val="superscript"/>
                    </w:rPr>
                    <w:t>-2</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1.20×10</w:t>
                  </w:r>
                  <w:r>
                    <w:rPr>
                      <w:rFonts w:ascii="Times New Roman" w:hAnsi="Times New Roman"/>
                      <w:bCs/>
                      <w:szCs w:val="21"/>
                      <w:vertAlign w:val="superscript"/>
                    </w:rPr>
                    <w:t>-2</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1.11×10</w:t>
                  </w:r>
                  <w:r>
                    <w:rPr>
                      <w:rFonts w:ascii="Times New Roman" w:hAnsi="Times New Roman"/>
                      <w:bCs/>
                      <w:szCs w:val="21"/>
                      <w:vertAlign w:val="superscript"/>
                    </w:rPr>
                    <w:t>-2</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1.13×10</w:t>
                  </w:r>
                  <w:r>
                    <w:rPr>
                      <w:rFonts w:ascii="Times New Roman" w:hAnsi="Times New Roman"/>
                      <w:bCs/>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5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二氧</w:t>
                  </w:r>
                </w:p>
                <w:p>
                  <w:pPr>
                    <w:jc w:val="center"/>
                    <w:rPr>
                      <w:rFonts w:ascii="Times New Roman" w:hAnsi="Times New Roman" w:eastAsiaTheme="minorEastAsia"/>
                      <w:szCs w:val="21"/>
                    </w:rPr>
                  </w:pPr>
                  <w:r>
                    <w:rPr>
                      <w:rFonts w:hint="eastAsia" w:ascii="Times New Roman"/>
                      <w:szCs w:val="21"/>
                    </w:rPr>
                    <w:t>化硫</w:t>
                  </w:r>
                </w:p>
              </w:tc>
              <w:tc>
                <w:tcPr>
                  <w:tcW w:w="1108"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污染物浓度</w:t>
                  </w:r>
                  <w:r>
                    <w:rPr>
                      <w:rFonts w:ascii="Times New Roman" w:hAnsi="Times New Roman"/>
                      <w:szCs w:val="21"/>
                    </w:rPr>
                    <w:t xml:space="preserve"> (mg/m</w:t>
                  </w:r>
                  <w:r>
                    <w:rPr>
                      <w:rFonts w:ascii="Times New Roman" w:hAnsi="Times New Roman"/>
                      <w:szCs w:val="21"/>
                      <w:vertAlign w:val="superscript"/>
                    </w:rPr>
                    <w:t>3</w:t>
                  </w:r>
                  <w:r>
                    <w:rPr>
                      <w:rFonts w:ascii="Times New Roman" w:hAnsi="Times New Roman"/>
                      <w:szCs w:val="21"/>
                    </w:rPr>
                    <w:t>)</w:t>
                  </w:r>
                </w:p>
              </w:tc>
              <w:tc>
                <w:tcPr>
                  <w:tcW w:w="11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4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Theme="minorEastAsia"/>
                      <w:szCs w:val="21"/>
                    </w:rPr>
                  </w:pPr>
                </w:p>
              </w:tc>
              <w:tc>
                <w:tcPr>
                  <w:tcW w:w="1108"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基准氧含量排放浓度</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11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&lt;10</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&lt;10</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&lt;10</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&lt;10</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&lt;9</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&lt;10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4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Theme="minorEastAsia"/>
                      <w:szCs w:val="21"/>
                    </w:rPr>
                  </w:pPr>
                </w:p>
              </w:tc>
              <w:tc>
                <w:tcPr>
                  <w:tcW w:w="1108" w:type="dxa"/>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污染物排放速率</w:t>
                  </w:r>
                  <w:r>
                    <w:rPr>
                      <w:rFonts w:ascii="Times New Roman" w:hAnsi="Times New Roman"/>
                      <w:szCs w:val="21"/>
                    </w:rPr>
                    <w:t>(kg/h)</w:t>
                  </w:r>
                </w:p>
              </w:tc>
              <w:tc>
                <w:tcPr>
                  <w:tcW w:w="11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&lt;2.54×10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&lt;2.59×10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&lt;2.63×10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&lt;2.57×10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&lt;2.56×10</w:t>
                  </w:r>
                  <w:r>
                    <w:rPr>
                      <w:rFonts w:ascii="Times New Roman" w:hAnsi="Times New Roman"/>
                      <w:bCs/>
                      <w:szCs w:val="21"/>
                      <w:vertAlign w:val="superscript"/>
                    </w:rPr>
                    <w:t>-3</w:t>
                  </w:r>
                </w:p>
              </w:tc>
              <w:tc>
                <w:tcPr>
                  <w:tcW w:w="112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ascii="Times New Roman" w:hAnsi="Times New Roman"/>
                      <w:bCs/>
                      <w:szCs w:val="21"/>
                    </w:rPr>
                    <w:t>&lt;2.61×10</w:t>
                  </w:r>
                  <w:r>
                    <w:rPr>
                      <w:rFonts w:ascii="Times New Roman" w:hAnsi="Times New Roman"/>
                      <w:bCs/>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15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szCs w:val="21"/>
                    </w:rPr>
                  </w:pPr>
                  <w:r>
                    <w:rPr>
                      <w:rFonts w:hint="eastAsia" w:ascii="Times New Roman"/>
                      <w:szCs w:val="21"/>
                    </w:rPr>
                    <w:t>烟气黑度</w:t>
                  </w:r>
                </w:p>
              </w:tc>
              <w:tc>
                <w:tcPr>
                  <w:tcW w:w="3386"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
                      <w:szCs w:val="21"/>
                    </w:rPr>
                  </w:pPr>
                  <w:r>
                    <w:rPr>
                      <w:rFonts w:hint="eastAsia" w:ascii="Times New Roman"/>
                      <w:bCs/>
                      <w:szCs w:val="21"/>
                    </w:rPr>
                    <w:t>林格曼黑度</w:t>
                  </w:r>
                  <w:r>
                    <w:rPr>
                      <w:rFonts w:ascii="Times New Roman" w:hAnsi="Times New Roman"/>
                      <w:bCs/>
                      <w:szCs w:val="21"/>
                    </w:rPr>
                    <w:t>1</w:t>
                  </w:r>
                  <w:r>
                    <w:rPr>
                      <w:rFonts w:hint="eastAsia" w:ascii="Times New Roman"/>
                      <w:bCs/>
                      <w:szCs w:val="21"/>
                    </w:rPr>
                    <w:t>级</w:t>
                  </w:r>
                </w:p>
              </w:tc>
              <w:tc>
                <w:tcPr>
                  <w:tcW w:w="3386"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bCs/>
                      <w:szCs w:val="21"/>
                    </w:rPr>
                    <w:t>林格曼黑度</w:t>
                  </w:r>
                  <w:r>
                    <w:rPr>
                      <w:rFonts w:ascii="Times New Roman" w:hAnsi="Times New Roman"/>
                      <w:bCs/>
                      <w:szCs w:val="21"/>
                    </w:rPr>
                    <w:t>1</w:t>
                  </w:r>
                  <w:r>
                    <w:rPr>
                      <w:rFonts w:hint="eastAsia" w:ascii="Times New Roman"/>
                      <w:bCs/>
                      <w:szCs w:val="21"/>
                    </w:rPr>
                    <w:t>级</w:t>
                  </w:r>
                </w:p>
              </w:tc>
            </w:tr>
          </w:tbl>
          <w:p>
            <w:pPr>
              <w:spacing w:line="360" w:lineRule="auto"/>
              <w:ind w:firstLine="480" w:firstLineChars="200"/>
              <w:jc w:val="left"/>
              <w:rPr>
                <w:rFonts w:ascii="Times New Roman" w:hAnsi="Arial"/>
                <w:bCs/>
                <w:kern w:val="0"/>
                <w:sz w:val="24"/>
              </w:rPr>
            </w:pPr>
            <w:r>
              <w:rPr>
                <w:rFonts w:ascii="Times New Roman" w:hAnsi="Arial"/>
                <w:kern w:val="0"/>
                <w:sz w:val="24"/>
              </w:rPr>
              <w:t>根据监测结果，项目天然气锅炉烟气排放符合</w:t>
            </w:r>
            <w:r>
              <w:rPr>
                <w:rFonts w:ascii="Times New Roman" w:hAnsi="Arial"/>
                <w:bCs/>
                <w:kern w:val="0"/>
                <w:sz w:val="24"/>
              </w:rPr>
              <w:t>《锅炉大气污染物排放标准》（</w:t>
            </w:r>
            <w:r>
              <w:rPr>
                <w:rFonts w:ascii="Times New Roman" w:hAnsi="Times New Roman"/>
                <w:bCs/>
                <w:kern w:val="0"/>
                <w:sz w:val="24"/>
              </w:rPr>
              <w:t>GB 13271-2014</w:t>
            </w:r>
            <w:r>
              <w:rPr>
                <w:rFonts w:ascii="Times New Roman" w:hAnsi="Arial"/>
                <w:bCs/>
                <w:kern w:val="0"/>
                <w:sz w:val="24"/>
              </w:rPr>
              <w:t>）表</w:t>
            </w:r>
            <w:r>
              <w:rPr>
                <w:rFonts w:ascii="Times New Roman" w:hAnsi="Times New Roman"/>
                <w:bCs/>
                <w:kern w:val="0"/>
                <w:sz w:val="24"/>
              </w:rPr>
              <w:t>3</w:t>
            </w:r>
            <w:r>
              <w:rPr>
                <w:rFonts w:ascii="Times New Roman" w:hAnsi="Arial"/>
                <w:bCs/>
                <w:kern w:val="0"/>
                <w:sz w:val="24"/>
              </w:rPr>
              <w:t>特别排放限值</w:t>
            </w:r>
            <w:r>
              <w:rPr>
                <w:rFonts w:hint="eastAsia" w:ascii="Times New Roman" w:hAnsi="Arial"/>
                <w:bCs/>
                <w:kern w:val="0"/>
                <w:sz w:val="24"/>
              </w:rPr>
              <w:t>要求</w:t>
            </w:r>
            <w:r>
              <w:rPr>
                <w:rFonts w:ascii="Times New Roman" w:hAnsi="Arial"/>
                <w:bCs/>
                <w:kern w:val="0"/>
                <w:sz w:val="24"/>
              </w:rPr>
              <w:t>。</w:t>
            </w:r>
          </w:p>
          <w:p>
            <w:pPr>
              <w:spacing w:line="360" w:lineRule="auto"/>
              <w:ind w:firstLine="480" w:firstLineChars="200"/>
              <w:rPr>
                <w:rFonts w:ascii="Times New Roman"/>
                <w:kern w:val="0"/>
                <w:sz w:val="24"/>
              </w:rPr>
            </w:pPr>
            <w:r>
              <w:rPr>
                <w:rFonts w:ascii="Times New Roman"/>
                <w:kern w:val="0"/>
                <w:sz w:val="24"/>
              </w:rPr>
              <w:t>（</w:t>
            </w:r>
            <w:r>
              <w:rPr>
                <w:rFonts w:ascii="Times New Roman" w:hAnsi="Times New Roman"/>
                <w:kern w:val="0"/>
                <w:sz w:val="24"/>
              </w:rPr>
              <w:t>2</w:t>
            </w:r>
            <w:r>
              <w:rPr>
                <w:rFonts w:ascii="Times New Roman"/>
                <w:kern w:val="0"/>
                <w:sz w:val="24"/>
              </w:rPr>
              <w:t>）</w:t>
            </w:r>
            <w:r>
              <w:rPr>
                <w:rFonts w:hint="eastAsia" w:ascii="Times New Roman"/>
                <w:kern w:val="0"/>
                <w:sz w:val="24"/>
              </w:rPr>
              <w:t>食堂油烟废气</w:t>
            </w:r>
          </w:p>
          <w:p>
            <w:pPr>
              <w:spacing w:line="360" w:lineRule="auto"/>
              <w:ind w:firstLine="480" w:firstLineChars="200"/>
              <w:rPr>
                <w:rFonts w:ascii="Times New Roman"/>
                <w:kern w:val="0"/>
                <w:sz w:val="24"/>
              </w:rPr>
            </w:pPr>
            <w:r>
              <w:rPr>
                <w:rFonts w:hint="eastAsia" w:ascii="Times New Roman"/>
                <w:kern w:val="0"/>
                <w:sz w:val="24"/>
              </w:rPr>
              <w:t>本项目设食堂，食堂共设2个油烟排放口，监测结果详见表7-3~7-4。</w:t>
            </w:r>
          </w:p>
          <w:p>
            <w:pPr>
              <w:spacing w:line="360" w:lineRule="auto"/>
              <w:ind w:firstLine="480" w:firstLineChars="200"/>
              <w:rPr>
                <w:rFonts w:ascii="Times New Roman" w:hAnsi="Times New Roman"/>
                <w:kern w:val="0"/>
                <w:sz w:val="24"/>
              </w:rPr>
            </w:pPr>
          </w:p>
        </w:tc>
      </w:tr>
    </w:tbl>
    <w:p>
      <w:pPr>
        <w:sectPr>
          <w:pgSz w:w="11906" w:h="16838"/>
          <w:pgMar w:top="1440" w:right="1800" w:bottom="1440" w:left="1800" w:header="851" w:footer="992" w:gutter="0"/>
          <w:cols w:space="425" w:num="1"/>
          <w:docGrid w:type="lines" w:linePitch="312" w:charSpace="0"/>
        </w:sectPr>
      </w:pPr>
    </w:p>
    <w:p>
      <w:pPr>
        <w:jc w:val="center"/>
        <w:rPr>
          <w:rFonts w:ascii="Times New Roman" w:hAnsi="Times New Roman"/>
          <w:b/>
          <w:szCs w:val="21"/>
        </w:rPr>
      </w:pPr>
      <w:r>
        <w:rPr>
          <w:rFonts w:ascii="Times New Roman"/>
          <w:b/>
          <w:szCs w:val="21"/>
        </w:rPr>
        <w:t>表</w:t>
      </w:r>
      <w:r>
        <w:rPr>
          <w:rFonts w:ascii="Times New Roman" w:hAnsi="Times New Roman"/>
          <w:b/>
          <w:szCs w:val="21"/>
        </w:rPr>
        <w:t xml:space="preserve">7-3 </w:t>
      </w:r>
      <w:r>
        <w:rPr>
          <w:rFonts w:ascii="Times New Roman"/>
          <w:b/>
          <w:szCs w:val="21"/>
        </w:rPr>
        <w:t>食堂油烟废气排放口监测结果（东）</w:t>
      </w:r>
    </w:p>
    <w:tbl>
      <w:tblPr>
        <w:tblStyle w:val="33"/>
        <w:tblW w:w="13966"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4"/>
        <w:gridCol w:w="2142"/>
        <w:gridCol w:w="1143"/>
        <w:gridCol w:w="1155"/>
        <w:gridCol w:w="1134"/>
        <w:gridCol w:w="1134"/>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heme="minorEastAsia"/>
                <w:color w:val="000000" w:themeColor="text1"/>
                <w:kern w:val="0"/>
                <w:szCs w:val="21"/>
              </w:rPr>
              <w:t>工艺设备名称及型号</w:t>
            </w:r>
          </w:p>
        </w:tc>
        <w:tc>
          <w:tcPr>
            <w:tcW w:w="11370" w:type="dxa"/>
            <w:gridSpan w:val="10"/>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heme="minorEastAsia"/>
                <w:color w:val="000000" w:themeColor="text1"/>
                <w:kern w:val="0"/>
                <w:szCs w:val="21"/>
              </w:rPr>
              <w:t>油烟废气排气筒（东）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heme="minorEastAsia"/>
                <w:color w:val="000000" w:themeColor="text1"/>
                <w:kern w:val="0"/>
                <w:szCs w:val="21"/>
              </w:rPr>
              <w:t>净化器名称及型号</w:t>
            </w:r>
          </w:p>
        </w:tc>
        <w:tc>
          <w:tcPr>
            <w:tcW w:w="11370" w:type="dxa"/>
            <w:gridSpan w:val="10"/>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heme="minorEastAsia"/>
                <w:color w:val="000000" w:themeColor="text1"/>
                <w:kern w:val="0"/>
                <w:szCs w:val="21"/>
              </w:rPr>
              <w:t>油烟净化器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heme="minorEastAsia"/>
                <w:color w:val="000000" w:themeColor="text1"/>
                <w:kern w:val="0"/>
                <w:szCs w:val="21"/>
              </w:rPr>
              <w:t>排气筒高度（</w:t>
            </w:r>
            <w:r>
              <w:rPr>
                <w:rFonts w:ascii="Times New Roman" w:hAnsi="Times New Roman"/>
                <w:color w:val="000000" w:themeColor="text1"/>
                <w:kern w:val="0"/>
                <w:szCs w:val="21"/>
              </w:rPr>
              <w:t>m</w:t>
            </w:r>
            <w:r>
              <w:rPr>
                <w:rFonts w:ascii="Times New Roman" w:hAnsiTheme="minorEastAsia"/>
                <w:color w:val="000000" w:themeColor="text1"/>
                <w:kern w:val="0"/>
                <w:szCs w:val="21"/>
              </w:rPr>
              <w:t>）</w:t>
            </w:r>
          </w:p>
        </w:tc>
        <w:tc>
          <w:tcPr>
            <w:tcW w:w="11370" w:type="dxa"/>
            <w:gridSpan w:val="10"/>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heme="minorEastAsia"/>
                <w:color w:val="000000" w:themeColor="text1"/>
                <w:kern w:val="0"/>
                <w:szCs w:val="21"/>
              </w:rPr>
              <w:t>测试断面</w:t>
            </w:r>
          </w:p>
        </w:tc>
        <w:tc>
          <w:tcPr>
            <w:tcW w:w="11370" w:type="dxa"/>
            <w:gridSpan w:val="10"/>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heme="minorEastAsia"/>
                <w:color w:val="000000" w:themeColor="text1"/>
                <w:kern w:val="0"/>
                <w:szCs w:val="21"/>
              </w:rPr>
              <w:t>废气出口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heme="minorEastAsia"/>
                <w:color w:val="000000" w:themeColor="text1"/>
                <w:kern w:val="0"/>
                <w:szCs w:val="21"/>
              </w:rPr>
              <w:t>采样日期</w:t>
            </w:r>
          </w:p>
        </w:tc>
        <w:tc>
          <w:tcPr>
            <w:tcW w:w="5700" w:type="dxa"/>
            <w:gridSpan w:val="5"/>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color w:val="000000" w:themeColor="text1"/>
                <w:kern w:val="0"/>
                <w:szCs w:val="21"/>
              </w:rPr>
            </w:pPr>
            <w:r>
              <w:rPr>
                <w:rFonts w:ascii="Times New Roman" w:hAnsi="Times New Roman"/>
                <w:color w:val="000000" w:themeColor="text1"/>
                <w:kern w:val="0"/>
                <w:szCs w:val="21"/>
              </w:rPr>
              <w:t>2024.05.08</w:t>
            </w:r>
          </w:p>
        </w:tc>
        <w:tc>
          <w:tcPr>
            <w:tcW w:w="5670" w:type="dxa"/>
            <w:gridSpan w:val="5"/>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2024.05.09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heme="minorEastAsia"/>
                <w:kern w:val="0"/>
                <w:szCs w:val="21"/>
              </w:rPr>
              <w:t>管道截面积（</w:t>
            </w:r>
            <w:r>
              <w:rPr>
                <w:rFonts w:ascii="Times New Roman" w:hAnsi="Times New Roman"/>
                <w:kern w:val="0"/>
                <w:szCs w:val="21"/>
              </w:rPr>
              <w:t>m</w:t>
            </w:r>
            <w:r>
              <w:rPr>
                <w:rFonts w:ascii="Times New Roman" w:hAnsi="Times New Roman"/>
                <w:kern w:val="0"/>
                <w:szCs w:val="21"/>
                <w:vertAlign w:val="superscript"/>
              </w:rPr>
              <w:t>2</w:t>
            </w:r>
            <w:r>
              <w:rPr>
                <w:rFonts w:ascii="Times New Roman" w:hAnsiTheme="minorEastAsia"/>
                <w:kern w:val="0"/>
                <w:szCs w:val="21"/>
              </w:rPr>
              <w:t>）</w:t>
            </w:r>
          </w:p>
        </w:tc>
        <w:tc>
          <w:tcPr>
            <w:tcW w:w="1143" w:type="dxa"/>
            <w:tcBorders>
              <w:top w:val="single" w:color="auto"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c>
          <w:tcPr>
            <w:tcW w:w="1155"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heme="minorEastAsia"/>
                <w:kern w:val="0"/>
                <w:szCs w:val="21"/>
              </w:rPr>
              <w:t>测点烟气温度</w:t>
            </w:r>
            <w:r>
              <w:rPr>
                <w:rFonts w:ascii="Times New Roman" w:hAnsi="Times New Roman"/>
                <w:kern w:val="0"/>
                <w:szCs w:val="21"/>
              </w:rPr>
              <w:t xml:space="preserve"> (</w:t>
            </w:r>
            <w:r>
              <w:rPr>
                <w:rFonts w:ascii="Times New Roman" w:hAnsiTheme="minorEastAsia"/>
                <w:kern w:val="0"/>
                <w:szCs w:val="21"/>
              </w:rPr>
              <w:t>℃</w:t>
            </w:r>
            <w:r>
              <w:rPr>
                <w:rFonts w:ascii="Times New Roman" w:hAnsi="Times New Roman"/>
                <w:kern w:val="0"/>
                <w:szCs w:val="21"/>
              </w:rPr>
              <w:t>)</w:t>
            </w:r>
          </w:p>
        </w:tc>
        <w:tc>
          <w:tcPr>
            <w:tcW w:w="1143" w:type="dxa"/>
            <w:tcBorders>
              <w:top w:val="single" w:color="auto"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29</w:t>
            </w:r>
          </w:p>
        </w:tc>
        <w:tc>
          <w:tcPr>
            <w:tcW w:w="1155"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29</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29</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32</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heme="minorEastAsia"/>
                <w:kern w:val="0"/>
                <w:szCs w:val="21"/>
              </w:rPr>
              <w:t>烟气含湿量</w:t>
            </w:r>
            <w:r>
              <w:rPr>
                <w:rFonts w:ascii="Times New Roman" w:hAnsi="Times New Roman"/>
                <w:kern w:val="0"/>
                <w:szCs w:val="21"/>
              </w:rPr>
              <w:t xml:space="preserve"> (</w:t>
            </w:r>
            <w:r>
              <w:rPr>
                <w:rFonts w:ascii="Times New Roman" w:hAnsiTheme="minorEastAsia"/>
                <w:kern w:val="0"/>
                <w:szCs w:val="21"/>
              </w:rPr>
              <w:t>％</w:t>
            </w:r>
            <w:r>
              <w:rPr>
                <w:rFonts w:ascii="Times New Roman" w:hAnsi="Times New Roman"/>
                <w:kern w:val="0"/>
                <w:szCs w:val="21"/>
              </w:rPr>
              <w:t>)</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heme="minorEastAsia"/>
                <w:kern w:val="0"/>
                <w:szCs w:val="21"/>
              </w:rPr>
              <w:t>测点烟气流速</w:t>
            </w:r>
            <w:r>
              <w:rPr>
                <w:rFonts w:ascii="Times New Roman" w:hAnsi="Times New Roman"/>
                <w:kern w:val="0"/>
                <w:szCs w:val="21"/>
              </w:rPr>
              <w:t xml:space="preserve"> (m/s)</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7.6</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7.7</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7.6</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8.0</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8.1</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7.7</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7.8</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7.8</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7.7</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heme="minorEastAsia"/>
                <w:kern w:val="0"/>
                <w:szCs w:val="21"/>
              </w:rPr>
              <w:t>实测烟气量</w:t>
            </w:r>
            <w:r>
              <w:rPr>
                <w:rFonts w:ascii="Times New Roman" w:hAnsi="Times New Roman"/>
                <w:kern w:val="0"/>
                <w:szCs w:val="21"/>
              </w:rPr>
              <w:t xml:space="preserve"> (m</w:t>
            </w:r>
            <w:r>
              <w:rPr>
                <w:rFonts w:ascii="Times New Roman" w:hAnsi="Times New Roman"/>
                <w:kern w:val="0"/>
                <w:szCs w:val="21"/>
                <w:vertAlign w:val="superscript"/>
              </w:rPr>
              <w:t>3</w:t>
            </w:r>
            <w:r>
              <w:rPr>
                <w:rFonts w:ascii="Times New Roman" w:hAnsi="Times New Roman"/>
                <w:kern w:val="0"/>
                <w:szCs w:val="21"/>
              </w:rPr>
              <w:t>/h)</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1.98×10</w:t>
            </w:r>
            <w:r>
              <w:rPr>
                <w:rFonts w:ascii="Times New Roman" w:hAnsi="Times New Roman"/>
                <w:szCs w:val="21"/>
                <w:vertAlign w:val="superscript"/>
              </w:rPr>
              <w:t>4</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2.01×10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1.98×10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2.08×10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2.10×10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1.99×10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2.01×10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2.02×10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1.99×10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2.07×10</w:t>
            </w:r>
            <w:r>
              <w:rPr>
                <w:rFonts w:ascii="Times New Roman" w:hAnsi="Times New Roman"/>
                <w:szCs w:val="21"/>
                <w:vertAlign w:val="superscript"/>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heme="minorEastAsia"/>
                <w:kern w:val="0"/>
                <w:szCs w:val="21"/>
              </w:rPr>
              <w:t>标态干烟气量（</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/h</w:t>
            </w:r>
            <w:r>
              <w:rPr>
                <w:rFonts w:ascii="Times New Roman" w:hAnsiTheme="minorEastAsia"/>
                <w:kern w:val="0"/>
                <w:szCs w:val="21"/>
              </w:rPr>
              <w:t>）</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1.75×10</w:t>
            </w:r>
            <w:r>
              <w:rPr>
                <w:rFonts w:ascii="Times New Roman" w:hAnsi="Times New Roman"/>
                <w:szCs w:val="21"/>
                <w:vertAlign w:val="superscript"/>
              </w:rPr>
              <w:t>4</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1.76×10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1.72×10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1.80×10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1.82×10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1.71×10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1.72×10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1.75×10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1.71×10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1.77×10</w:t>
            </w:r>
            <w:r>
              <w:rPr>
                <w:rFonts w:ascii="Times New Roman" w:hAnsi="Times New Roman"/>
                <w:szCs w:val="21"/>
                <w:vertAlign w:val="superscript"/>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454" w:type="dxa"/>
            <w:vMerge w:val="restart"/>
            <w:tcBorders>
              <w:top w:val="single" w:color="auto" w:sz="4" w:space="0"/>
              <w:left w:val="single" w:color="000000" w:sz="4" w:space="0"/>
              <w:bottom w:val="single" w:color="000000" w:sz="4" w:space="0"/>
              <w:right w:val="single" w:color="auto"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heme="minorEastAsia"/>
                <w:kern w:val="0"/>
                <w:szCs w:val="21"/>
              </w:rPr>
              <w:t>油烟</w:t>
            </w:r>
          </w:p>
        </w:tc>
        <w:tc>
          <w:tcPr>
            <w:tcW w:w="2142" w:type="dxa"/>
            <w:tcBorders>
              <w:top w:val="single" w:color="auto" w:sz="4" w:space="0"/>
              <w:left w:val="single" w:color="auto"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heme="minorEastAsia"/>
                <w:kern w:val="0"/>
                <w:szCs w:val="21"/>
              </w:rPr>
              <w:t>污染物浓度</w:t>
            </w:r>
            <w:r>
              <w:rPr>
                <w:rFonts w:ascii="Times New Roman" w:hAnsi="Times New Roman"/>
                <w:kern w:val="0"/>
                <w:szCs w:val="21"/>
              </w:rPr>
              <w:t xml:space="preserve"> (mg/m</w:t>
            </w:r>
            <w:r>
              <w:rPr>
                <w:rFonts w:ascii="Times New Roman" w:hAnsi="Times New Roman"/>
                <w:kern w:val="0"/>
                <w:szCs w:val="21"/>
                <w:vertAlign w:val="superscript"/>
              </w:rPr>
              <w:t>3</w:t>
            </w:r>
            <w:r>
              <w:rPr>
                <w:rFonts w:ascii="Times New Roman" w:hAnsi="Times New Roman"/>
                <w:kern w:val="0"/>
                <w:szCs w:val="21"/>
              </w:rPr>
              <w:t>)</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0.94</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0.89</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1.07</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0.94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0.90</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1.06</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1.03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1.10</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0.99</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454" w:type="dxa"/>
            <w:vMerge w:val="continue"/>
            <w:tcBorders>
              <w:top w:val="single" w:color="auto" w:sz="4" w:space="0"/>
              <w:left w:val="single" w:color="000000" w:sz="4" w:space="0"/>
              <w:bottom w:val="single" w:color="000000" w:sz="4" w:space="0"/>
              <w:right w:val="single" w:color="auto" w:sz="4" w:space="0"/>
            </w:tcBorders>
            <w:vAlign w:val="center"/>
          </w:tcPr>
          <w:p>
            <w:pPr>
              <w:widowControl/>
              <w:jc w:val="center"/>
              <w:rPr>
                <w:rFonts w:ascii="Times New Roman" w:hAnsi="Times New Roman" w:eastAsiaTheme="minorEastAsia"/>
                <w:kern w:val="0"/>
                <w:szCs w:val="21"/>
              </w:rPr>
            </w:pPr>
          </w:p>
        </w:tc>
        <w:tc>
          <w:tcPr>
            <w:tcW w:w="2142" w:type="dxa"/>
            <w:tcBorders>
              <w:top w:val="single" w:color="auto" w:sz="4" w:space="0"/>
              <w:left w:val="single" w:color="auto"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heme="minorEastAsia"/>
                <w:kern w:val="0"/>
                <w:szCs w:val="21"/>
              </w:rPr>
              <w:t>污染物排放速率</w:t>
            </w:r>
            <w:r>
              <w:rPr>
                <w:rFonts w:ascii="Times New Roman" w:hAnsi="Times New Roman"/>
                <w:kern w:val="0"/>
                <w:szCs w:val="21"/>
              </w:rPr>
              <w:t xml:space="preserve"> (kg/h)</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1.65×10</w:t>
            </w:r>
            <w:r>
              <w:rPr>
                <w:rFonts w:ascii="Times New Roman" w:hAnsi="Times New Roman"/>
                <w:szCs w:val="21"/>
                <w:vertAlign w:val="superscript"/>
              </w:rPr>
              <w:t>-2</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1.57×10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1.84×10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1.69×10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1.64×10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1.81×10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1.77×10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1.93×10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1.69×10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2.00×10</w:t>
            </w:r>
            <w:r>
              <w:rPr>
                <w:rFonts w:ascii="Times New Roman" w:hAnsi="Times New Roman"/>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454" w:type="dxa"/>
            <w:vMerge w:val="continue"/>
            <w:tcBorders>
              <w:top w:val="single" w:color="auto" w:sz="4" w:space="0"/>
              <w:left w:val="single" w:color="000000" w:sz="4" w:space="0"/>
              <w:bottom w:val="single" w:color="000000" w:sz="4" w:space="0"/>
              <w:right w:val="single" w:color="auto" w:sz="4" w:space="0"/>
            </w:tcBorders>
            <w:vAlign w:val="center"/>
          </w:tcPr>
          <w:p>
            <w:pPr>
              <w:widowControl/>
              <w:jc w:val="center"/>
              <w:rPr>
                <w:rFonts w:ascii="Times New Roman" w:hAnsi="Times New Roman" w:eastAsiaTheme="minorEastAsia"/>
                <w:kern w:val="0"/>
                <w:szCs w:val="21"/>
              </w:rPr>
            </w:pPr>
          </w:p>
        </w:tc>
        <w:tc>
          <w:tcPr>
            <w:tcW w:w="2142" w:type="dxa"/>
            <w:tcBorders>
              <w:top w:val="single" w:color="auto" w:sz="4" w:space="0"/>
              <w:left w:val="single" w:color="auto"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heme="minorEastAsia"/>
                <w:kern w:val="0"/>
                <w:szCs w:val="21"/>
              </w:rPr>
              <w:t>污染物平均浓度</w:t>
            </w:r>
            <w:r>
              <w:rPr>
                <w:rFonts w:ascii="Times New Roman" w:hAnsi="Times New Roman"/>
                <w:kern w:val="0"/>
                <w:szCs w:val="21"/>
              </w:rPr>
              <w:t xml:space="preserve"> (mg/m</w:t>
            </w:r>
            <w:r>
              <w:rPr>
                <w:rFonts w:ascii="Times New Roman" w:hAnsi="Times New Roman"/>
                <w:kern w:val="0"/>
                <w:szCs w:val="21"/>
                <w:vertAlign w:val="superscript"/>
              </w:rPr>
              <w:t>3</w:t>
            </w:r>
            <w:r>
              <w:rPr>
                <w:rFonts w:ascii="Times New Roman" w:hAnsi="Times New Roman"/>
                <w:kern w:val="0"/>
                <w:szCs w:val="21"/>
              </w:rPr>
              <w:t>)</w:t>
            </w:r>
          </w:p>
        </w:tc>
        <w:tc>
          <w:tcPr>
            <w:tcW w:w="5700" w:type="dxa"/>
            <w:gridSpan w:val="5"/>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0.95</w:t>
            </w:r>
          </w:p>
        </w:tc>
        <w:tc>
          <w:tcPr>
            <w:tcW w:w="5670" w:type="dxa"/>
            <w:gridSpan w:val="5"/>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13966" w:type="dxa"/>
            <w:gridSpan w:val="12"/>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bCs/>
                <w:szCs w:val="21"/>
              </w:rPr>
            </w:pPr>
            <w:r>
              <w:rPr>
                <w:rFonts w:ascii="Times New Roman" w:hAnsiTheme="minorEastAsia"/>
                <w:bCs/>
                <w:szCs w:val="21"/>
              </w:rPr>
              <w:t>备注：</w:t>
            </w:r>
            <w:r>
              <w:rPr>
                <w:rFonts w:ascii="Times New Roman" w:hAnsi="Times New Roman"/>
                <w:bCs/>
                <w:szCs w:val="21"/>
              </w:rPr>
              <w:t>8</w:t>
            </w:r>
            <w:r>
              <w:rPr>
                <w:rFonts w:ascii="Times New Roman" w:hAnsiTheme="minorEastAsia"/>
                <w:bCs/>
                <w:szCs w:val="21"/>
              </w:rPr>
              <w:t>个灶头。</w:t>
            </w:r>
          </w:p>
        </w:tc>
      </w:tr>
    </w:tbl>
    <w:p>
      <w:pPr>
        <w:jc w:val="center"/>
        <w:rPr>
          <w:rFonts w:ascii="Times New Roman"/>
          <w:b/>
          <w:szCs w:val="21"/>
        </w:rPr>
      </w:pPr>
      <w:r>
        <w:rPr>
          <w:rFonts w:ascii="Times New Roman"/>
          <w:b/>
          <w:szCs w:val="21"/>
        </w:rPr>
        <w:t>表</w:t>
      </w:r>
      <w:r>
        <w:rPr>
          <w:rFonts w:ascii="Times New Roman" w:hAnsi="Times New Roman"/>
          <w:b/>
          <w:szCs w:val="21"/>
        </w:rPr>
        <w:t xml:space="preserve">7-4 </w:t>
      </w:r>
      <w:r>
        <w:rPr>
          <w:rFonts w:ascii="Times New Roman"/>
          <w:b/>
          <w:szCs w:val="21"/>
        </w:rPr>
        <w:t>食堂油烟废气排放口监测结果（西）</w:t>
      </w:r>
    </w:p>
    <w:tbl>
      <w:tblPr>
        <w:tblStyle w:val="33"/>
        <w:tblW w:w="13966"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4"/>
        <w:gridCol w:w="2142"/>
        <w:gridCol w:w="1143"/>
        <w:gridCol w:w="1155"/>
        <w:gridCol w:w="1134"/>
        <w:gridCol w:w="1134"/>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imes New Roman"/>
                <w:color w:val="000000" w:themeColor="text1"/>
                <w:kern w:val="0"/>
                <w:szCs w:val="21"/>
              </w:rPr>
              <w:t>工艺设备名称及型号</w:t>
            </w:r>
          </w:p>
        </w:tc>
        <w:tc>
          <w:tcPr>
            <w:tcW w:w="11370" w:type="dxa"/>
            <w:gridSpan w:val="10"/>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油烟废气排气筒（西）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imes New Roman"/>
                <w:color w:val="000000" w:themeColor="text1"/>
                <w:kern w:val="0"/>
                <w:szCs w:val="21"/>
              </w:rPr>
              <w:t>净化器名称及型号</w:t>
            </w:r>
          </w:p>
        </w:tc>
        <w:tc>
          <w:tcPr>
            <w:tcW w:w="11370" w:type="dxa"/>
            <w:gridSpan w:val="10"/>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油烟净化器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imes New Roman"/>
                <w:color w:val="000000" w:themeColor="text1"/>
                <w:kern w:val="0"/>
                <w:szCs w:val="21"/>
              </w:rPr>
              <w:t>排气筒高度（m）</w:t>
            </w:r>
          </w:p>
        </w:tc>
        <w:tc>
          <w:tcPr>
            <w:tcW w:w="11370" w:type="dxa"/>
            <w:gridSpan w:val="10"/>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imes New Roman"/>
                <w:color w:val="000000" w:themeColor="text1"/>
                <w:kern w:val="0"/>
                <w:szCs w:val="21"/>
              </w:rPr>
              <w:t>测试断面</w:t>
            </w:r>
          </w:p>
        </w:tc>
        <w:tc>
          <w:tcPr>
            <w:tcW w:w="11370" w:type="dxa"/>
            <w:gridSpan w:val="10"/>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废气出口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2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themeColor="text1"/>
                <w:kern w:val="0"/>
                <w:szCs w:val="21"/>
              </w:rPr>
            </w:pPr>
            <w:r>
              <w:rPr>
                <w:rFonts w:ascii="Times New Roman" w:hAnsi="Times New Roman"/>
                <w:color w:val="000000" w:themeColor="text1"/>
                <w:kern w:val="0"/>
                <w:szCs w:val="21"/>
              </w:rPr>
              <w:t>采样日期</w:t>
            </w:r>
          </w:p>
        </w:tc>
        <w:tc>
          <w:tcPr>
            <w:tcW w:w="5700" w:type="dxa"/>
            <w:gridSpan w:val="5"/>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Theme="minorEastAsia"/>
                <w:color w:val="000000" w:themeColor="text1"/>
                <w:kern w:val="0"/>
                <w:szCs w:val="21"/>
              </w:rPr>
            </w:pPr>
            <w:r>
              <w:rPr>
                <w:rFonts w:ascii="Times New Roman" w:hAnsi="Times New Roman"/>
                <w:color w:val="000000" w:themeColor="text1"/>
                <w:kern w:val="0"/>
                <w:szCs w:val="21"/>
              </w:rPr>
              <w:t>2024.05.08</w:t>
            </w:r>
          </w:p>
        </w:tc>
        <w:tc>
          <w:tcPr>
            <w:tcW w:w="5670" w:type="dxa"/>
            <w:gridSpan w:val="5"/>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2024.05.09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imes New Roman"/>
                <w:kern w:val="0"/>
                <w:szCs w:val="21"/>
              </w:rPr>
              <w:t>管道截面积（m</w:t>
            </w:r>
            <w:r>
              <w:rPr>
                <w:rFonts w:ascii="Times New Roman" w:hAnsi="Times New Roman"/>
                <w:kern w:val="0"/>
                <w:szCs w:val="21"/>
                <w:vertAlign w:val="superscript"/>
              </w:rPr>
              <w:t>2</w:t>
            </w:r>
            <w:r>
              <w:rPr>
                <w:rFonts w:ascii="Times New Roman" w:hAnsi="Times New Roman"/>
                <w:kern w:val="0"/>
                <w:szCs w:val="21"/>
              </w:rPr>
              <w:t>）</w:t>
            </w:r>
          </w:p>
        </w:tc>
        <w:tc>
          <w:tcPr>
            <w:tcW w:w="1143" w:type="dxa"/>
            <w:tcBorders>
              <w:top w:val="single" w:color="auto"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c>
          <w:tcPr>
            <w:tcW w:w="1155"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imes New Roman"/>
                <w:kern w:val="0"/>
                <w:szCs w:val="21"/>
              </w:rPr>
              <w:t>测点烟气温度 (</w:t>
            </w:r>
            <w:r>
              <w:rPr>
                <w:rFonts w:ascii="Times New Roman" w:hAnsiTheme="minorEastAsia"/>
                <w:kern w:val="0"/>
                <w:szCs w:val="21"/>
              </w:rPr>
              <w:t>℃</w:t>
            </w:r>
            <w:r>
              <w:rPr>
                <w:rFonts w:ascii="Times New Roman" w:hAnsi="Times New Roman"/>
                <w:kern w:val="0"/>
                <w:szCs w:val="21"/>
              </w:rPr>
              <w:t>)</w:t>
            </w:r>
          </w:p>
        </w:tc>
        <w:tc>
          <w:tcPr>
            <w:tcW w:w="1143" w:type="dxa"/>
            <w:tcBorders>
              <w:top w:val="single" w:color="auto"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28</w:t>
            </w:r>
          </w:p>
        </w:tc>
        <w:tc>
          <w:tcPr>
            <w:tcW w:w="1155"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29</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28</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29</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30</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32</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32</w:t>
            </w:r>
          </w:p>
        </w:tc>
        <w:tc>
          <w:tcPr>
            <w:tcW w:w="1134"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imes New Roman"/>
                <w:kern w:val="0"/>
                <w:szCs w:val="21"/>
              </w:rPr>
              <w:t>烟气含湿量 (％)</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3.2</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3.1</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3.1</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3.1</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3.1</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imes New Roman"/>
                <w:kern w:val="0"/>
                <w:szCs w:val="21"/>
              </w:rPr>
              <w:t>测点烟气流速 (m/s)</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9.0</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9.2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9.0</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9.0</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8.9</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9.1</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9.2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9.3</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9.4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imes New Roman"/>
                <w:kern w:val="0"/>
                <w:szCs w:val="21"/>
              </w:rPr>
              <w:t>实测烟气量 (m</w:t>
            </w:r>
            <w:r>
              <w:rPr>
                <w:rFonts w:ascii="Times New Roman" w:hAnsi="Times New Roman"/>
                <w:kern w:val="0"/>
                <w:szCs w:val="21"/>
                <w:vertAlign w:val="superscript"/>
              </w:rPr>
              <w:t>3</w:t>
            </w:r>
            <w:r>
              <w:rPr>
                <w:rFonts w:ascii="Times New Roman" w:hAnsi="Times New Roman"/>
                <w:kern w:val="0"/>
                <w:szCs w:val="21"/>
              </w:rPr>
              <w:t>/h)</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1.95×10</w:t>
            </w:r>
            <w:r>
              <w:rPr>
                <w:rFonts w:ascii="Times New Roman" w:hAnsi="Times New Roman"/>
                <w:szCs w:val="21"/>
                <w:vertAlign w:val="superscript"/>
              </w:rPr>
              <w:t>4</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1.98×10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1.94×10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1.96×10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1.92×10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1.97×10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1.98×10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2.01×10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2.02×10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2.04×10</w:t>
            </w:r>
            <w:r>
              <w:rPr>
                <w:rFonts w:ascii="Times New Roman" w:hAnsi="Times New Roman"/>
                <w:szCs w:val="21"/>
                <w:vertAlign w:val="superscript"/>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2596" w:type="dxa"/>
            <w:gridSpan w:val="2"/>
            <w:tcBorders>
              <w:top w:val="single" w:color="auto" w:sz="4" w:space="0"/>
              <w:left w:val="single" w:color="000000" w:sz="4" w:space="0"/>
              <w:bottom w:val="single" w:color="auto" w:sz="4" w:space="0"/>
              <w:right w:val="single" w:color="000000"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imes New Roman"/>
                <w:kern w:val="0"/>
                <w:szCs w:val="21"/>
              </w:rPr>
              <w:t>标态干烟气量（m</w:t>
            </w:r>
            <w:r>
              <w:rPr>
                <w:rFonts w:ascii="Times New Roman" w:hAnsi="Times New Roman"/>
                <w:kern w:val="0"/>
                <w:szCs w:val="21"/>
                <w:vertAlign w:val="superscript"/>
              </w:rPr>
              <w:t>3</w:t>
            </w:r>
            <w:r>
              <w:rPr>
                <w:rFonts w:ascii="Times New Roman" w:hAnsi="Times New Roman"/>
                <w:kern w:val="0"/>
                <w:szCs w:val="21"/>
              </w:rPr>
              <w:t>/h）</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1.73×10</w:t>
            </w:r>
            <w:r>
              <w:rPr>
                <w:rFonts w:ascii="Times New Roman" w:hAnsi="Times New Roman"/>
                <w:szCs w:val="21"/>
                <w:vertAlign w:val="superscript"/>
              </w:rPr>
              <w:t>4</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1.72×10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1.69×10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1.70×10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1.68×10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1.72×10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1.73×10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1.75×10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1.76×10</w:t>
            </w:r>
            <w:r>
              <w:rPr>
                <w:rFonts w:ascii="Times New Roman" w:hAnsi="Times New Roman"/>
                <w:szCs w:val="21"/>
                <w:vertAlign w:val="superscript"/>
              </w:rPr>
              <w:t>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1.77×10</w:t>
            </w:r>
            <w:r>
              <w:rPr>
                <w:rFonts w:ascii="Times New Roman" w:hAnsi="Times New Roman"/>
                <w:szCs w:val="21"/>
                <w:vertAlign w:val="superscript"/>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454" w:type="dxa"/>
            <w:vMerge w:val="restart"/>
            <w:tcBorders>
              <w:top w:val="single" w:color="auto" w:sz="4" w:space="0"/>
              <w:left w:val="single" w:color="000000" w:sz="4" w:space="0"/>
              <w:bottom w:val="single" w:color="000000" w:sz="4" w:space="0"/>
              <w:right w:val="single" w:color="auto" w:sz="4" w:space="0"/>
            </w:tcBorders>
            <w:vAlign w:val="center"/>
          </w:tcPr>
          <w:p>
            <w:pPr>
              <w:ind w:left="-4" w:leftChars="-2" w:right="-33" w:rightChars="-16" w:firstLine="2" w:firstLineChars="1"/>
              <w:jc w:val="center"/>
              <w:rPr>
                <w:rFonts w:ascii="Times New Roman" w:hAnsi="Times New Roman" w:eastAsiaTheme="minorEastAsia"/>
                <w:kern w:val="0"/>
                <w:szCs w:val="21"/>
              </w:rPr>
            </w:pPr>
            <w:r>
              <w:rPr>
                <w:rFonts w:ascii="Times New Roman" w:hAnsi="Times New Roman"/>
                <w:kern w:val="0"/>
                <w:szCs w:val="21"/>
              </w:rPr>
              <w:t>油烟</w:t>
            </w:r>
          </w:p>
        </w:tc>
        <w:tc>
          <w:tcPr>
            <w:tcW w:w="2142" w:type="dxa"/>
            <w:tcBorders>
              <w:top w:val="single" w:color="auto" w:sz="4" w:space="0"/>
              <w:left w:val="single" w:color="auto"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imes New Roman"/>
                <w:kern w:val="0"/>
                <w:szCs w:val="21"/>
              </w:rPr>
              <w:t>污染物浓度 (mg/m</w:t>
            </w:r>
            <w:r>
              <w:rPr>
                <w:rFonts w:ascii="Times New Roman" w:hAnsi="Times New Roman"/>
                <w:kern w:val="0"/>
                <w:szCs w:val="21"/>
                <w:vertAlign w:val="superscript"/>
              </w:rPr>
              <w:t>3</w:t>
            </w:r>
            <w:r>
              <w:rPr>
                <w:rFonts w:ascii="Times New Roman" w:hAnsi="Times New Roman"/>
                <w:kern w:val="0"/>
                <w:szCs w:val="21"/>
              </w:rPr>
              <w:t>)</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0.79</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0.85</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0.81</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0.88</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0.78</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0.84</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0.88</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0.90</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0.85</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454" w:type="dxa"/>
            <w:vMerge w:val="continue"/>
            <w:tcBorders>
              <w:top w:val="single" w:color="auto" w:sz="4" w:space="0"/>
              <w:left w:val="single" w:color="000000" w:sz="4" w:space="0"/>
              <w:bottom w:val="single" w:color="000000" w:sz="4" w:space="0"/>
              <w:right w:val="single" w:color="auto" w:sz="4" w:space="0"/>
            </w:tcBorders>
            <w:vAlign w:val="center"/>
          </w:tcPr>
          <w:p>
            <w:pPr>
              <w:widowControl/>
              <w:jc w:val="center"/>
              <w:rPr>
                <w:rFonts w:ascii="Times New Roman" w:hAnsi="Times New Roman" w:eastAsiaTheme="minorEastAsia"/>
                <w:kern w:val="0"/>
                <w:szCs w:val="21"/>
              </w:rPr>
            </w:pPr>
          </w:p>
        </w:tc>
        <w:tc>
          <w:tcPr>
            <w:tcW w:w="2142" w:type="dxa"/>
            <w:tcBorders>
              <w:top w:val="single" w:color="auto" w:sz="4" w:space="0"/>
              <w:left w:val="single" w:color="auto"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imes New Roman"/>
                <w:kern w:val="0"/>
                <w:szCs w:val="21"/>
              </w:rPr>
              <w:t>污染物排放速率 (kg/h)</w:t>
            </w:r>
          </w:p>
        </w:tc>
        <w:tc>
          <w:tcPr>
            <w:tcW w:w="1143"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1.37×10</w:t>
            </w:r>
            <w:r>
              <w:rPr>
                <w:rFonts w:ascii="Times New Roman" w:hAnsi="Times New Roman"/>
                <w:szCs w:val="21"/>
                <w:vertAlign w:val="superscript"/>
              </w:rPr>
              <w:t>-2</w:t>
            </w:r>
          </w:p>
        </w:tc>
        <w:tc>
          <w:tcPr>
            <w:tcW w:w="1155"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1.46×10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1.37×10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1.50×10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1.31×10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1.44×10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1.52×10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1.58×10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1.50×10</w:t>
            </w:r>
            <w:r>
              <w:rPr>
                <w:rFonts w:ascii="Times New Roman" w:hAnsi="Times New Roman"/>
                <w:szCs w:val="21"/>
                <w:vertAlign w:val="superscript"/>
              </w:rPr>
              <w:t>-2</w:t>
            </w:r>
          </w:p>
        </w:tc>
        <w:tc>
          <w:tcPr>
            <w:tcW w:w="1134"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szCs w:val="21"/>
              </w:rPr>
              <w:t>1.58×10</w:t>
            </w:r>
            <w:r>
              <w:rPr>
                <w:rFonts w:ascii="Times New Roman" w:hAnsi="Times New Roman"/>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454" w:type="dxa"/>
            <w:vMerge w:val="continue"/>
            <w:tcBorders>
              <w:top w:val="single" w:color="auto" w:sz="4" w:space="0"/>
              <w:left w:val="single" w:color="000000" w:sz="4" w:space="0"/>
              <w:bottom w:val="single" w:color="000000" w:sz="4" w:space="0"/>
              <w:right w:val="single" w:color="auto" w:sz="4" w:space="0"/>
            </w:tcBorders>
            <w:vAlign w:val="center"/>
          </w:tcPr>
          <w:p>
            <w:pPr>
              <w:widowControl/>
              <w:jc w:val="center"/>
              <w:rPr>
                <w:rFonts w:ascii="Times New Roman" w:hAnsi="Times New Roman" w:eastAsiaTheme="minorEastAsia"/>
                <w:kern w:val="0"/>
                <w:szCs w:val="21"/>
              </w:rPr>
            </w:pPr>
          </w:p>
        </w:tc>
        <w:tc>
          <w:tcPr>
            <w:tcW w:w="2142" w:type="dxa"/>
            <w:tcBorders>
              <w:top w:val="single" w:color="auto" w:sz="4" w:space="0"/>
              <w:left w:val="single" w:color="auto" w:sz="4" w:space="0"/>
              <w:bottom w:val="single" w:color="auto" w:sz="4" w:space="0"/>
              <w:right w:val="single" w:color="000000" w:sz="4" w:space="0"/>
            </w:tcBorders>
            <w:vAlign w:val="center"/>
          </w:tcPr>
          <w:p>
            <w:pPr>
              <w:jc w:val="center"/>
              <w:rPr>
                <w:rFonts w:ascii="Times New Roman" w:hAnsi="Times New Roman" w:eastAsiaTheme="minorEastAsia"/>
                <w:kern w:val="0"/>
                <w:szCs w:val="21"/>
              </w:rPr>
            </w:pPr>
            <w:r>
              <w:rPr>
                <w:rFonts w:ascii="Times New Roman" w:hAnsi="Times New Roman"/>
                <w:kern w:val="0"/>
                <w:szCs w:val="21"/>
              </w:rPr>
              <w:t>污染物平均浓度 (mg/m</w:t>
            </w:r>
            <w:r>
              <w:rPr>
                <w:rFonts w:ascii="Times New Roman" w:hAnsi="Times New Roman"/>
                <w:kern w:val="0"/>
                <w:szCs w:val="21"/>
                <w:vertAlign w:val="superscript"/>
              </w:rPr>
              <w:t>3</w:t>
            </w:r>
            <w:r>
              <w:rPr>
                <w:rFonts w:ascii="Times New Roman" w:hAnsi="Times New Roman"/>
                <w:kern w:val="0"/>
                <w:szCs w:val="21"/>
              </w:rPr>
              <w:t>)</w:t>
            </w:r>
          </w:p>
        </w:tc>
        <w:tc>
          <w:tcPr>
            <w:tcW w:w="5700" w:type="dxa"/>
            <w:gridSpan w:val="5"/>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Theme="minorEastAsia"/>
                <w:bCs/>
                <w:szCs w:val="21"/>
              </w:rPr>
            </w:pPr>
            <w:r>
              <w:rPr>
                <w:rFonts w:ascii="Times New Roman" w:hAnsi="Times New Roman"/>
                <w:bCs/>
                <w:szCs w:val="21"/>
              </w:rPr>
              <w:t>0.82</w:t>
            </w:r>
          </w:p>
        </w:tc>
        <w:tc>
          <w:tcPr>
            <w:tcW w:w="5670" w:type="dxa"/>
            <w:gridSpan w:val="5"/>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0.87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trPr>
        <w:tc>
          <w:tcPr>
            <w:tcW w:w="13966" w:type="dxa"/>
            <w:gridSpan w:val="12"/>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备注：</w:t>
            </w:r>
            <w:r>
              <w:rPr>
                <w:rFonts w:hint="eastAsia" w:ascii="Times New Roman" w:hAnsi="Times New Roman"/>
                <w:bCs/>
                <w:szCs w:val="21"/>
              </w:rPr>
              <w:t>6</w:t>
            </w:r>
            <w:r>
              <w:rPr>
                <w:rFonts w:ascii="Times New Roman" w:hAnsi="Times New Roman"/>
                <w:bCs/>
                <w:szCs w:val="21"/>
              </w:rPr>
              <w:t>个灶头。</w:t>
            </w:r>
          </w:p>
        </w:tc>
      </w:tr>
    </w:tbl>
    <w:p>
      <w:pPr>
        <w:jc w:val="center"/>
        <w:rPr>
          <w:rFonts w:ascii="Times New Roman"/>
          <w:b/>
          <w:szCs w:val="21"/>
        </w:rPr>
      </w:pPr>
    </w:p>
    <w:p>
      <w:pPr>
        <w:jc w:val="center"/>
        <w:sectPr>
          <w:pgSz w:w="16838" w:h="11906" w:orient="landscape"/>
          <w:pgMar w:top="1797" w:right="1440" w:bottom="1797" w:left="1440" w:header="851" w:footer="992" w:gutter="0"/>
          <w:cols w:space="425" w:num="1"/>
          <w:docGrid w:type="linesAndChars"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Times New Roman"/>
                <w:kern w:val="0"/>
                <w:sz w:val="24"/>
              </w:rPr>
            </w:pPr>
            <w:bookmarkStart w:id="29" w:name="_Toc26442"/>
            <w:r>
              <w:rPr>
                <w:rFonts w:hint="eastAsia" w:ascii="Times New Roman"/>
                <w:kern w:val="0"/>
                <w:sz w:val="24"/>
              </w:rPr>
              <w:t>根据监测结果可知，各油烟排放口油烟排放浓度均低于《饮食业油烟排放标准（试行）》（</w:t>
            </w:r>
            <w:r>
              <w:rPr>
                <w:rFonts w:ascii="Times New Roman"/>
                <w:kern w:val="0"/>
                <w:sz w:val="24"/>
              </w:rPr>
              <w:t>GB18483-2001</w:t>
            </w:r>
            <w:r>
              <w:rPr>
                <w:rFonts w:hint="eastAsia" w:ascii="Times New Roman"/>
                <w:kern w:val="0"/>
                <w:sz w:val="24"/>
              </w:rPr>
              <w:t>）规定的最高允许排放浓度要求。</w:t>
            </w:r>
          </w:p>
          <w:p>
            <w:pPr>
              <w:spacing w:line="360" w:lineRule="auto"/>
              <w:ind w:firstLine="480" w:firstLineChars="200"/>
              <w:rPr>
                <w:rFonts w:ascii="Times New Roman" w:hAnsi="Times New Roman"/>
                <w:kern w:val="0"/>
                <w:sz w:val="24"/>
              </w:rPr>
            </w:pPr>
            <w:r>
              <w:rPr>
                <w:rFonts w:hint="eastAsia" w:ascii="Times New Roman" w:hAnsi="Times New Roman"/>
                <w:kern w:val="0"/>
                <w:sz w:val="24"/>
              </w:rPr>
              <w:t>（</w:t>
            </w:r>
            <w:r>
              <w:rPr>
                <w:rFonts w:ascii="Times New Roman" w:hAnsi="Times New Roman"/>
                <w:kern w:val="0"/>
                <w:sz w:val="24"/>
              </w:rPr>
              <w:t>3</w:t>
            </w:r>
            <w:r>
              <w:rPr>
                <w:rFonts w:hint="eastAsia" w:ascii="Times New Roman" w:hAnsi="Times New Roman"/>
                <w:kern w:val="0"/>
                <w:sz w:val="24"/>
              </w:rPr>
              <w:t>）无组织废气</w:t>
            </w:r>
          </w:p>
          <w:p>
            <w:pPr>
              <w:spacing w:line="360" w:lineRule="auto"/>
              <w:ind w:firstLine="480" w:firstLineChars="200"/>
              <w:rPr>
                <w:rFonts w:ascii="Times New Roman" w:hAnsi="Times New Roman"/>
                <w:kern w:val="0"/>
                <w:sz w:val="24"/>
              </w:rPr>
            </w:pPr>
            <w:r>
              <w:rPr>
                <w:rFonts w:hint="eastAsia" w:ascii="Times New Roman" w:hAnsi="Times New Roman"/>
                <w:kern w:val="0"/>
                <w:sz w:val="24"/>
              </w:rPr>
              <w:t>项目无组织废气主要考虑地库汽车尾气、实验室废气和垃圾房臭气扩散等影响，监测结果见表</w:t>
            </w:r>
            <w:r>
              <w:rPr>
                <w:rFonts w:ascii="Times New Roman" w:hAnsi="Times New Roman"/>
                <w:kern w:val="0"/>
                <w:sz w:val="24"/>
              </w:rPr>
              <w:t>7-</w:t>
            </w:r>
            <w:r>
              <w:rPr>
                <w:rFonts w:hint="eastAsia" w:ascii="Times New Roman" w:hAnsi="Times New Roman"/>
                <w:kern w:val="0"/>
                <w:sz w:val="24"/>
              </w:rPr>
              <w:t>5。</w:t>
            </w:r>
          </w:p>
          <w:p>
            <w:pPr>
              <w:spacing w:line="360" w:lineRule="auto"/>
              <w:jc w:val="center"/>
              <w:rPr>
                <w:rFonts w:ascii="Times New Roman" w:hAnsi="Times New Roman"/>
                <w:b/>
                <w:kern w:val="0"/>
                <w:sz w:val="20"/>
                <w:szCs w:val="21"/>
              </w:rPr>
            </w:pPr>
            <w:r>
              <w:rPr>
                <w:rFonts w:hint="eastAsia" w:ascii="Times New Roman" w:hAnsi="Times New Roman"/>
                <w:b/>
                <w:kern w:val="0"/>
                <w:sz w:val="20"/>
                <w:szCs w:val="21"/>
              </w:rPr>
              <w:t>表7-5厂界无组织废气监测结果（单位：</w:t>
            </w:r>
            <w:r>
              <w:rPr>
                <w:rFonts w:ascii="Times New Roman" w:hAnsi="Times New Roman"/>
                <w:b/>
                <w:kern w:val="0"/>
                <w:sz w:val="20"/>
                <w:szCs w:val="21"/>
              </w:rPr>
              <w:t>mg/m</w:t>
            </w:r>
            <w:r>
              <w:rPr>
                <w:rFonts w:ascii="Times New Roman" w:hAnsi="Times New Roman"/>
                <w:b/>
                <w:kern w:val="0"/>
                <w:sz w:val="20"/>
                <w:szCs w:val="21"/>
                <w:vertAlign w:val="superscript"/>
              </w:rPr>
              <w:t>3</w:t>
            </w:r>
            <w:r>
              <w:rPr>
                <w:rFonts w:hint="eastAsia" w:ascii="Times New Roman" w:hAnsi="Times New Roman"/>
                <w:b/>
                <w:kern w:val="0"/>
                <w:sz w:val="20"/>
                <w:szCs w:val="21"/>
              </w:rPr>
              <w:t>，臭气浓度：无量纲）</w:t>
            </w:r>
          </w:p>
          <w:tbl>
            <w:tblPr>
              <w:tblStyle w:val="33"/>
              <w:tblW w:w="808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524"/>
              <w:gridCol w:w="556"/>
              <w:gridCol w:w="965"/>
              <w:gridCol w:w="708"/>
              <w:gridCol w:w="851"/>
              <w:gridCol w:w="709"/>
              <w:gridCol w:w="1325"/>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宋体"/>
                      <w:bCs/>
                      <w:kern w:val="0"/>
                      <w:szCs w:val="21"/>
                    </w:rPr>
                    <w:t>采样</w:t>
                  </w:r>
                </w:p>
                <w:p>
                  <w:pPr>
                    <w:jc w:val="center"/>
                    <w:rPr>
                      <w:rFonts w:ascii="Times New Roman" w:hAnsi="Times New Roman" w:eastAsiaTheme="minorEastAsia"/>
                      <w:bCs/>
                      <w:kern w:val="0"/>
                      <w:szCs w:val="21"/>
                    </w:rPr>
                  </w:pPr>
                  <w:r>
                    <w:rPr>
                      <w:rFonts w:ascii="Times New Roman" w:hAnsi="宋体"/>
                      <w:bCs/>
                      <w:kern w:val="0"/>
                      <w:szCs w:val="21"/>
                    </w:rPr>
                    <w:t>地点</w:t>
                  </w:r>
                </w:p>
              </w:tc>
              <w:tc>
                <w:tcPr>
                  <w:tcW w:w="531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采样期间气象条件</w:t>
                  </w:r>
                </w:p>
              </w:tc>
              <w:tc>
                <w:tcPr>
                  <w:tcW w:w="132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检测项目</w:t>
                  </w:r>
                </w:p>
              </w:tc>
              <w:tc>
                <w:tcPr>
                  <w:tcW w:w="80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采样时间</w:t>
                  </w:r>
                </w:p>
              </w:tc>
              <w:tc>
                <w:tcPr>
                  <w:tcW w:w="55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风向</w:t>
                  </w:r>
                </w:p>
              </w:tc>
              <w:tc>
                <w:tcPr>
                  <w:tcW w:w="96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风速（</w:t>
                  </w:r>
                  <w:r>
                    <w:rPr>
                      <w:rFonts w:ascii="Times New Roman" w:hAnsi="Times New Roman"/>
                      <w:bCs/>
                      <w:kern w:val="0"/>
                      <w:szCs w:val="21"/>
                    </w:rPr>
                    <w:t>m/s</w:t>
                  </w:r>
                  <w:r>
                    <w:rPr>
                      <w:rFonts w:ascii="Times New Roman" w:hAnsi="宋体"/>
                      <w:bCs/>
                      <w:kern w:val="0"/>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气温</w:t>
                  </w:r>
                  <w:r>
                    <w:rPr>
                      <w:rFonts w:ascii="Times New Roman" w:hAnsi="Times New Roman"/>
                      <w:bCs/>
                      <w:kern w:val="0"/>
                      <w:szCs w:val="21"/>
                    </w:rPr>
                    <w:t>(</w:t>
                  </w:r>
                  <w:r>
                    <w:rPr>
                      <w:rFonts w:ascii="Times New Roman" w:hAnsi="宋体"/>
                      <w:bCs/>
                      <w:kern w:val="0"/>
                      <w:szCs w:val="21"/>
                    </w:rPr>
                    <w:t>℃</w:t>
                  </w:r>
                  <w:r>
                    <w:rPr>
                      <w:rFonts w:ascii="Times New Roman" w:hAnsi="Times New Roman"/>
                      <w:bCs/>
                      <w:kern w:val="0"/>
                      <w:szCs w:val="21"/>
                    </w:rPr>
                    <w:t>)</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气压（</w:t>
                  </w:r>
                  <w:r>
                    <w:rPr>
                      <w:rFonts w:ascii="Times New Roman" w:hAnsi="Times New Roman"/>
                      <w:bCs/>
                      <w:kern w:val="0"/>
                      <w:szCs w:val="21"/>
                    </w:rPr>
                    <w:t>kPa</w:t>
                  </w:r>
                  <w:r>
                    <w:rPr>
                      <w:rFonts w:ascii="Times New Roman" w:hAnsi="宋体"/>
                      <w:bCs/>
                      <w:kern w:val="0"/>
                      <w:szCs w:val="21"/>
                    </w:rPr>
                    <w:t>）</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宋体"/>
                      <w:bCs/>
                      <w:kern w:val="0"/>
                      <w:szCs w:val="21"/>
                    </w:rPr>
                    <w:t>天气情况</w:t>
                  </w:r>
                </w:p>
              </w:tc>
              <w:tc>
                <w:tcPr>
                  <w:tcW w:w="13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1#</w:t>
                  </w:r>
                </w:p>
                <w:p>
                  <w:pPr>
                    <w:jc w:val="center"/>
                    <w:rPr>
                      <w:rFonts w:ascii="Times New Roman" w:hAnsi="Times New Roman" w:eastAsiaTheme="minorEastAsia"/>
                      <w:bCs/>
                      <w:kern w:val="0"/>
                      <w:szCs w:val="21"/>
                    </w:rPr>
                  </w:pPr>
                  <w:r>
                    <w:rPr>
                      <w:rFonts w:ascii="Times New Roman" w:hAnsi="宋体"/>
                      <w:bCs/>
                      <w:kern w:val="0"/>
                      <w:szCs w:val="21"/>
                    </w:rPr>
                    <w:t>上风向</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11:40-12:40</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26.4</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101.2</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11:42</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12:42-13:42</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27.3</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12:44</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13:45-14:45</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27.8</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13:47</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w:t>
                  </w:r>
                </w:p>
                <w:p>
                  <w:pPr>
                    <w:jc w:val="center"/>
                    <w:rPr>
                      <w:rFonts w:ascii="Times New Roman" w:hAnsi="Times New Roman" w:eastAsiaTheme="minorEastAsia"/>
                      <w:bCs/>
                      <w:kern w:val="0"/>
                      <w:szCs w:val="21"/>
                    </w:rPr>
                  </w:pPr>
                  <w:r>
                    <w:rPr>
                      <w:rFonts w:ascii="Times New Roman" w:hAnsi="宋体"/>
                      <w:bCs/>
                      <w:kern w:val="0"/>
                      <w:szCs w:val="21"/>
                    </w:rPr>
                    <w:t>下风向</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11:47-12:47</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26.4</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101.2</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11:49</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12:49-13:49</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27.3</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12:51</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13:52-14:52</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27.8</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13:54</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3#</w:t>
                  </w:r>
                </w:p>
                <w:p>
                  <w:pPr>
                    <w:jc w:val="center"/>
                    <w:rPr>
                      <w:rFonts w:ascii="Times New Roman" w:hAnsi="Times New Roman" w:eastAsiaTheme="minorEastAsia"/>
                      <w:bCs/>
                      <w:kern w:val="0"/>
                      <w:szCs w:val="21"/>
                    </w:rPr>
                  </w:pPr>
                  <w:r>
                    <w:rPr>
                      <w:rFonts w:ascii="Times New Roman" w:hAnsi="宋体"/>
                      <w:bCs/>
                      <w:kern w:val="0"/>
                      <w:szCs w:val="21"/>
                    </w:rPr>
                    <w:t>下风向</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11:54-12:54</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26.4</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101.2</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11:56</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12:56-13:56</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27.3</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12:58</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13:59-14:59</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27.8</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14:01</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4#</w:t>
                  </w:r>
                </w:p>
                <w:p>
                  <w:pPr>
                    <w:jc w:val="center"/>
                    <w:rPr>
                      <w:rFonts w:ascii="Times New Roman" w:hAnsi="Times New Roman" w:eastAsiaTheme="minorEastAsia"/>
                      <w:bCs/>
                      <w:kern w:val="0"/>
                      <w:szCs w:val="21"/>
                    </w:rPr>
                  </w:pPr>
                  <w:r>
                    <w:rPr>
                      <w:rFonts w:ascii="Times New Roman" w:hAnsi="宋体"/>
                      <w:bCs/>
                      <w:kern w:val="0"/>
                      <w:szCs w:val="21"/>
                    </w:rPr>
                    <w:t>下风向</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12:01-13:01</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26.4</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101.2</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12:03</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13:03-14:03</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27.3</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13:05</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2024.05.08</w:t>
                  </w:r>
                </w:p>
                <w:p>
                  <w:pPr>
                    <w:jc w:val="center"/>
                    <w:rPr>
                      <w:rFonts w:ascii="Times New Roman" w:hAnsi="Times New Roman" w:eastAsiaTheme="minorEastAsia"/>
                      <w:bCs/>
                      <w:kern w:val="0"/>
                      <w:szCs w:val="21"/>
                    </w:rPr>
                  </w:pPr>
                  <w:r>
                    <w:rPr>
                      <w:rFonts w:ascii="Times New Roman" w:hAnsi="Times New Roman"/>
                      <w:bCs/>
                      <w:kern w:val="0"/>
                      <w:szCs w:val="21"/>
                    </w:rPr>
                    <w:t>14:06-15:06</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2.0</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27.8</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101.1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2024.05.08</w:t>
                  </w:r>
                </w:p>
                <w:p>
                  <w:pPr>
                    <w:jc w:val="center"/>
                    <w:rPr>
                      <w:rFonts w:ascii="Times New Roman" w:hAnsi="Times New Roman" w:eastAsiaTheme="minorEastAsia"/>
                      <w:szCs w:val="21"/>
                    </w:rPr>
                  </w:pPr>
                  <w:r>
                    <w:rPr>
                      <w:rFonts w:ascii="Times New Roman" w:hAnsi="Times New Roman"/>
                      <w:bCs/>
                      <w:kern w:val="0"/>
                      <w:szCs w:val="21"/>
                    </w:rPr>
                    <w:t>14:07</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1#</w:t>
                  </w:r>
                </w:p>
                <w:p>
                  <w:pPr>
                    <w:jc w:val="center"/>
                    <w:rPr>
                      <w:rFonts w:ascii="Times New Roman" w:hAnsi="Times New Roman" w:eastAsiaTheme="minorEastAsia"/>
                      <w:bCs/>
                      <w:kern w:val="0"/>
                      <w:szCs w:val="21"/>
                    </w:rPr>
                  </w:pPr>
                  <w:r>
                    <w:rPr>
                      <w:rFonts w:ascii="Times New Roman" w:hAnsi="宋体"/>
                      <w:bCs/>
                      <w:kern w:val="0"/>
                      <w:szCs w:val="21"/>
                    </w:rPr>
                    <w:t>上风向</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12:00-13:00</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1.8</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24.3</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12:02</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13:02-14:02</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1.9</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24.9</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13:04</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14:04-15:04</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1.8</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24.2</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14:06</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w:t>
                  </w:r>
                </w:p>
                <w:p>
                  <w:pPr>
                    <w:jc w:val="center"/>
                    <w:rPr>
                      <w:rFonts w:ascii="Times New Roman" w:hAnsi="Times New Roman" w:eastAsiaTheme="minorEastAsia"/>
                      <w:bCs/>
                      <w:kern w:val="0"/>
                      <w:szCs w:val="21"/>
                    </w:rPr>
                  </w:pPr>
                  <w:r>
                    <w:rPr>
                      <w:rFonts w:ascii="Times New Roman" w:hAnsi="宋体"/>
                      <w:bCs/>
                      <w:kern w:val="0"/>
                      <w:szCs w:val="21"/>
                    </w:rPr>
                    <w:t>下风向</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12:05-13:05</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1.8</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24.3</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12:07</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13:07-14:07</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1.9</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24.9</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13:09</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14:09-15:09</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1.8</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24.2</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14:11</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3#</w:t>
                  </w:r>
                </w:p>
                <w:p>
                  <w:pPr>
                    <w:jc w:val="center"/>
                    <w:rPr>
                      <w:rFonts w:ascii="Times New Roman" w:hAnsi="Times New Roman" w:eastAsiaTheme="minorEastAsia"/>
                      <w:bCs/>
                      <w:kern w:val="0"/>
                      <w:szCs w:val="21"/>
                    </w:rPr>
                  </w:pPr>
                  <w:r>
                    <w:rPr>
                      <w:rFonts w:ascii="Times New Roman" w:hAnsi="宋体"/>
                      <w:bCs/>
                      <w:kern w:val="0"/>
                      <w:szCs w:val="21"/>
                    </w:rPr>
                    <w:t>下风向</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12:10-13:10</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1.8</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24.3</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12:12</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13:12-14:12</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1.9</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24.9</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13:14</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14:14-15:14</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1.8</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24.2</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14:16</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64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4#</w:t>
                  </w:r>
                </w:p>
                <w:p>
                  <w:pPr>
                    <w:jc w:val="center"/>
                    <w:rPr>
                      <w:rFonts w:ascii="Times New Roman" w:hAnsi="Times New Roman" w:eastAsiaTheme="minorEastAsia"/>
                      <w:bCs/>
                      <w:kern w:val="0"/>
                      <w:szCs w:val="21"/>
                    </w:rPr>
                  </w:pPr>
                  <w:r>
                    <w:rPr>
                      <w:rFonts w:ascii="Times New Roman" w:hAnsi="宋体"/>
                      <w:bCs/>
                      <w:kern w:val="0"/>
                      <w:szCs w:val="21"/>
                    </w:rPr>
                    <w:t>下风向</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12:15-13:15</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1.8</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24.3</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12:17</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13:17-14:17</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1.9</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24.9</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13:19</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 xml:space="preserve"> 2024.05.09</w:t>
                  </w:r>
                </w:p>
                <w:p>
                  <w:pPr>
                    <w:jc w:val="center"/>
                    <w:rPr>
                      <w:rFonts w:ascii="Times New Roman" w:hAnsi="Times New Roman" w:eastAsiaTheme="minorEastAsia"/>
                      <w:bCs/>
                      <w:kern w:val="0"/>
                      <w:szCs w:val="21"/>
                    </w:rPr>
                  </w:pPr>
                  <w:r>
                    <w:rPr>
                      <w:rFonts w:ascii="Times New Roman" w:hAnsi="Times New Roman"/>
                      <w:bCs/>
                      <w:kern w:val="0"/>
                      <w:szCs w:val="21"/>
                    </w:rPr>
                    <w:t>14:19-15:19</w:t>
                  </w:r>
                </w:p>
              </w:tc>
              <w:tc>
                <w:tcPr>
                  <w:tcW w:w="5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北</w:t>
                  </w:r>
                </w:p>
              </w:tc>
              <w:tc>
                <w:tcPr>
                  <w:tcW w:w="9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1.8</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24.2</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100.9</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晴</w:t>
                  </w: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64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kern w:val="0"/>
                      <w:szCs w:val="21"/>
                    </w:rPr>
                  </w:pPr>
                  <w:r>
                    <w:rPr>
                      <w:rFonts w:ascii="Times New Roman" w:hAnsi="Times New Roman"/>
                      <w:bCs/>
                      <w:kern w:val="0"/>
                      <w:szCs w:val="21"/>
                    </w:rPr>
                    <w:t>2024.05.09</w:t>
                  </w:r>
                </w:p>
                <w:p>
                  <w:pPr>
                    <w:jc w:val="center"/>
                    <w:rPr>
                      <w:rFonts w:ascii="Times New Roman" w:hAnsi="Times New Roman" w:eastAsiaTheme="minorEastAsia"/>
                      <w:szCs w:val="21"/>
                    </w:rPr>
                  </w:pPr>
                  <w:r>
                    <w:rPr>
                      <w:rFonts w:ascii="Times New Roman" w:hAnsi="Times New Roman"/>
                      <w:bCs/>
                      <w:kern w:val="0"/>
                      <w:szCs w:val="21"/>
                    </w:rPr>
                    <w:t>14:21</w:t>
                  </w:r>
                </w:p>
              </w:tc>
              <w:tc>
                <w:tcPr>
                  <w:tcW w:w="5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Cs w:val="21"/>
                    </w:rPr>
                  </w:pPr>
                </w:p>
              </w:tc>
              <w:tc>
                <w:tcPr>
                  <w:tcW w:w="13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宋体"/>
                      <w:bCs/>
                      <w:kern w:val="0"/>
                      <w:szCs w:val="21"/>
                    </w:rPr>
                    <w:t>非甲烷总烃</w:t>
                  </w:r>
                </w:p>
              </w:tc>
              <w:tc>
                <w:tcPr>
                  <w:tcW w:w="8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kern w:val="0"/>
                      <w:szCs w:val="21"/>
                    </w:rPr>
                  </w:pPr>
                  <w:r>
                    <w:rPr>
                      <w:rFonts w:ascii="Times New Roman" w:hAnsi="Times New Roman"/>
                      <w:bCs/>
                      <w:kern w:val="0"/>
                      <w:szCs w:val="21"/>
                    </w:rPr>
                    <w:t>1.71</w:t>
                  </w:r>
                </w:p>
              </w:tc>
            </w:tr>
          </w:tbl>
          <w:p>
            <w:pPr>
              <w:spacing w:line="360" w:lineRule="auto"/>
              <w:ind w:firstLine="480" w:firstLineChars="200"/>
              <w:rPr>
                <w:rFonts w:ascii="Times New Roman" w:hAnsi="Times New Roman"/>
                <w:kern w:val="0"/>
                <w:sz w:val="24"/>
              </w:rPr>
            </w:pPr>
            <w:r>
              <w:rPr>
                <w:rFonts w:hint="eastAsia" w:ascii="Times New Roman" w:hAnsi="Times New Roman"/>
                <w:kern w:val="0"/>
                <w:sz w:val="24"/>
              </w:rPr>
              <w:t>根据监测结果，验收期间，</w:t>
            </w:r>
            <w:r>
              <w:rPr>
                <w:rFonts w:hint="eastAsia" w:ascii="Times New Roman" w:hAnsi="Times New Roman"/>
                <w:color w:val="FF0000"/>
                <w:kern w:val="0"/>
                <w:sz w:val="24"/>
              </w:rPr>
              <w:t>学校场界</w:t>
            </w:r>
            <w:r>
              <w:rPr>
                <w:rFonts w:hint="eastAsia" w:ascii="Times New Roman" w:hAnsi="Times New Roman"/>
                <w:kern w:val="0"/>
                <w:sz w:val="24"/>
              </w:rPr>
              <w:t>的无组织废气中非甲烷总烃、氮氧化物、浓度均低于《大气污染物综合排放标准》（</w:t>
            </w:r>
            <w:r>
              <w:rPr>
                <w:rFonts w:ascii="Times New Roman" w:hAnsi="Times New Roman"/>
                <w:kern w:val="0"/>
                <w:sz w:val="24"/>
              </w:rPr>
              <w:t>GB 16297-1996</w:t>
            </w:r>
            <w:r>
              <w:rPr>
                <w:rFonts w:hint="eastAsia" w:ascii="Times New Roman" w:hAnsi="Times New Roman"/>
                <w:kern w:val="0"/>
                <w:sz w:val="24"/>
              </w:rPr>
              <w:t>）中表</w:t>
            </w:r>
            <w:r>
              <w:rPr>
                <w:rFonts w:ascii="Times New Roman" w:hAnsi="Times New Roman"/>
                <w:kern w:val="0"/>
                <w:sz w:val="24"/>
              </w:rPr>
              <w:t>2</w:t>
            </w:r>
            <w:r>
              <w:rPr>
                <w:rFonts w:hint="eastAsia" w:ascii="Times New Roman" w:hAnsi="Times New Roman"/>
                <w:kern w:val="0"/>
                <w:sz w:val="24"/>
              </w:rPr>
              <w:t>“无组织排放监控浓度限值”。</w:t>
            </w:r>
          </w:p>
          <w:p>
            <w:pPr>
              <w:spacing w:line="360" w:lineRule="auto"/>
              <w:ind w:firstLine="482" w:firstLineChars="200"/>
              <w:rPr>
                <w:rFonts w:ascii="Times New Roman" w:hAnsi="Times New Roman"/>
                <w:b/>
                <w:bCs/>
                <w:kern w:val="0"/>
                <w:sz w:val="24"/>
              </w:rPr>
            </w:pPr>
            <w:r>
              <w:rPr>
                <w:rFonts w:ascii="Times New Roman" w:hAnsi="Times New Roman"/>
                <w:b/>
                <w:bCs/>
                <w:kern w:val="0"/>
                <w:sz w:val="24"/>
              </w:rPr>
              <w:t>7.2.3</w:t>
            </w:r>
            <w:r>
              <w:rPr>
                <w:rFonts w:hint="eastAsia" w:ascii="Times New Roman" w:hAnsi="Times New Roman"/>
                <w:b/>
                <w:bCs/>
                <w:kern w:val="0"/>
                <w:sz w:val="24"/>
              </w:rPr>
              <w:t>厂界噪声</w:t>
            </w:r>
          </w:p>
          <w:p>
            <w:pPr>
              <w:spacing w:line="360" w:lineRule="auto"/>
              <w:ind w:firstLine="480" w:firstLineChars="200"/>
              <w:rPr>
                <w:rFonts w:ascii="Times New Roman" w:hAnsi="Times New Roman"/>
                <w:kern w:val="0"/>
                <w:sz w:val="24"/>
              </w:rPr>
            </w:pPr>
            <w:r>
              <w:rPr>
                <w:rFonts w:hint="eastAsia" w:ascii="Times New Roman" w:hAnsi="Times New Roman"/>
                <w:kern w:val="0"/>
                <w:sz w:val="24"/>
              </w:rPr>
              <w:t>项目排放的噪声主要来自配套设备运行噪声和地库出入库口噪声等，</w:t>
            </w:r>
            <w:r>
              <w:rPr>
                <w:rFonts w:hint="eastAsia" w:ascii="Times New Roman" w:hAnsi="Arial"/>
                <w:sz w:val="24"/>
                <w:lang w:val="en-US" w:eastAsia="zh-CN"/>
              </w:rPr>
              <w:t>学校场界</w:t>
            </w:r>
            <w:r>
              <w:rPr>
                <w:rFonts w:hint="eastAsia" w:ascii="Times New Roman" w:hAnsi="Times New Roman"/>
                <w:kern w:val="0"/>
                <w:sz w:val="24"/>
              </w:rPr>
              <w:t>噪声监测结果见表</w:t>
            </w:r>
            <w:r>
              <w:rPr>
                <w:rFonts w:ascii="Times New Roman" w:hAnsi="Times New Roman"/>
                <w:kern w:val="0"/>
                <w:sz w:val="24"/>
              </w:rPr>
              <w:t>7-</w:t>
            </w:r>
            <w:r>
              <w:rPr>
                <w:rFonts w:hint="eastAsia" w:ascii="Times New Roman" w:hAnsi="Times New Roman"/>
                <w:kern w:val="0"/>
                <w:sz w:val="24"/>
              </w:rPr>
              <w:t>6，声环境保护目标噪声监测结果见表7-7。</w:t>
            </w:r>
          </w:p>
          <w:p>
            <w:pPr>
              <w:spacing w:line="360" w:lineRule="auto"/>
              <w:jc w:val="center"/>
              <w:rPr>
                <w:rFonts w:ascii="Times New Roman" w:hAnsi="Times New Roman"/>
                <w:b/>
                <w:kern w:val="0"/>
                <w:sz w:val="20"/>
                <w:szCs w:val="21"/>
              </w:rPr>
            </w:pPr>
            <w:r>
              <w:rPr>
                <w:rFonts w:hint="eastAsia" w:ascii="Times New Roman" w:hAnsi="Times New Roman"/>
                <w:b/>
                <w:kern w:val="0"/>
                <w:sz w:val="20"/>
                <w:szCs w:val="21"/>
              </w:rPr>
              <w:t xml:space="preserve">表7-6 </w:t>
            </w:r>
            <w:r>
              <w:rPr>
                <w:rFonts w:hint="eastAsia" w:ascii="Times New Roman" w:hAnsi="Times New Roman"/>
                <w:b/>
                <w:kern w:val="0"/>
                <w:sz w:val="20"/>
                <w:szCs w:val="21"/>
                <w:lang w:val="en-US" w:eastAsia="zh-CN"/>
              </w:rPr>
              <w:t>学校场界</w:t>
            </w:r>
            <w:r>
              <w:rPr>
                <w:rFonts w:hint="eastAsia" w:ascii="Times New Roman" w:hAnsi="Times New Roman"/>
                <w:b/>
                <w:kern w:val="0"/>
                <w:sz w:val="20"/>
                <w:szCs w:val="21"/>
              </w:rPr>
              <w:t>噪声监测结果（单位：dB（A））</w:t>
            </w:r>
          </w:p>
          <w:tbl>
            <w:tblPr>
              <w:tblStyle w:val="34"/>
              <w:tblW w:w="8176"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536"/>
              <w:gridCol w:w="1589"/>
              <w:gridCol w:w="2002"/>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78" w:type="dxa"/>
                  <w:vMerge w:val="restart"/>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检测点位</w:t>
                  </w:r>
                </w:p>
              </w:tc>
              <w:tc>
                <w:tcPr>
                  <w:tcW w:w="1536" w:type="dxa"/>
                  <w:vMerge w:val="restart"/>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对应位置</w:t>
                  </w:r>
                </w:p>
              </w:tc>
              <w:tc>
                <w:tcPr>
                  <w:tcW w:w="1589" w:type="dxa"/>
                  <w:vMerge w:val="restart"/>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主要声源</w:t>
                  </w:r>
                </w:p>
              </w:tc>
              <w:tc>
                <w:tcPr>
                  <w:tcW w:w="4073" w:type="dxa"/>
                  <w:gridSpan w:val="2"/>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昼间</w:t>
                  </w:r>
                  <w:r>
                    <w:rPr>
                      <w:rFonts w:ascii="Times New Roman" w:hAnsi="Times New Roman"/>
                      <w:bCs/>
                      <w:kern w:val="0"/>
                      <w:sz w:val="21"/>
                      <w:szCs w:val="21"/>
                    </w:rPr>
                    <w:t>L</w:t>
                  </w:r>
                  <w:r>
                    <w:rPr>
                      <w:rFonts w:ascii="Times New Roman" w:hAnsi="Times New Roman"/>
                      <w:bCs/>
                      <w:kern w:val="0"/>
                      <w:sz w:val="21"/>
                      <w:szCs w:val="21"/>
                      <w:vertAlign w:val="subscript"/>
                    </w:rPr>
                    <w:t>eq</w:t>
                  </w:r>
                  <w:r>
                    <w:rPr>
                      <w:rFonts w:ascii="Times New Roman" w:hAnsi="Times New Roman"/>
                      <w:bCs/>
                      <w:kern w:val="0"/>
                      <w:sz w:val="21"/>
                      <w:szCs w:val="21"/>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97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 w:val="21"/>
                      <w:szCs w:val="21"/>
                    </w:rPr>
                  </w:pPr>
                </w:p>
              </w:tc>
              <w:tc>
                <w:tcPr>
                  <w:tcW w:w="1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 w:val="21"/>
                      <w:szCs w:val="21"/>
                    </w:rPr>
                  </w:pPr>
                </w:p>
              </w:tc>
              <w:tc>
                <w:tcPr>
                  <w:tcW w:w="15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bCs/>
                      <w:kern w:val="0"/>
                      <w:sz w:val="21"/>
                      <w:szCs w:val="21"/>
                    </w:rPr>
                  </w:pPr>
                </w:p>
              </w:tc>
              <w:tc>
                <w:tcPr>
                  <w:tcW w:w="2002"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kern w:val="0"/>
                      <w:sz w:val="21"/>
                      <w:szCs w:val="21"/>
                    </w:rPr>
                  </w:pPr>
                  <w:r>
                    <w:rPr>
                      <w:rFonts w:ascii="Times New Roman" w:hAnsi="宋体"/>
                      <w:bCs/>
                      <w:kern w:val="0"/>
                      <w:sz w:val="21"/>
                      <w:szCs w:val="21"/>
                    </w:rPr>
                    <w:t>测量时间</w:t>
                  </w:r>
                </w:p>
              </w:tc>
              <w:tc>
                <w:tcPr>
                  <w:tcW w:w="207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kern w:val="0"/>
                      <w:sz w:val="21"/>
                      <w:szCs w:val="21"/>
                    </w:rPr>
                  </w:pPr>
                  <w:r>
                    <w:rPr>
                      <w:rFonts w:ascii="Times New Roman" w:hAnsi="宋体"/>
                      <w:bCs/>
                      <w:kern w:val="0"/>
                      <w:sz w:val="21"/>
                      <w:szCs w:val="21"/>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7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1#</w:t>
                  </w:r>
                </w:p>
              </w:tc>
              <w:tc>
                <w:tcPr>
                  <w:tcW w:w="1536"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厂界东北</w:t>
                  </w:r>
                </w:p>
              </w:tc>
              <w:tc>
                <w:tcPr>
                  <w:tcW w:w="1589"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highlight w:val="yellow"/>
                    </w:rPr>
                  </w:pPr>
                  <w:r>
                    <w:rPr>
                      <w:rFonts w:ascii="Times New Roman" w:hAnsi="宋体"/>
                      <w:bCs/>
                      <w:kern w:val="0"/>
                      <w:sz w:val="21"/>
                      <w:szCs w:val="21"/>
                    </w:rPr>
                    <w:t>设备运转</w:t>
                  </w:r>
                </w:p>
              </w:tc>
              <w:tc>
                <w:tcPr>
                  <w:tcW w:w="2002" w:type="dxa"/>
                  <w:tcBorders>
                    <w:top w:val="single" w:color="auto" w:sz="4" w:space="0"/>
                    <w:left w:val="single" w:color="auto" w:sz="4" w:space="0"/>
                    <w:bottom w:val="single" w:color="auto" w:sz="4" w:space="0"/>
                    <w:right w:val="single" w:color="auto" w:sz="4" w:space="0"/>
                  </w:tcBorders>
                  <w:vAlign w:val="center"/>
                </w:tcPr>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2024.05.08</w:t>
                  </w:r>
                </w:p>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8:40</w:t>
                  </w:r>
                </w:p>
              </w:tc>
              <w:tc>
                <w:tcPr>
                  <w:tcW w:w="207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7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w:t>
                  </w:r>
                </w:p>
              </w:tc>
              <w:tc>
                <w:tcPr>
                  <w:tcW w:w="1536"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厂界东南</w:t>
                  </w:r>
                </w:p>
              </w:tc>
              <w:tc>
                <w:tcPr>
                  <w:tcW w:w="1589"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highlight w:val="yellow"/>
                    </w:rPr>
                  </w:pPr>
                  <w:r>
                    <w:rPr>
                      <w:rFonts w:ascii="Times New Roman" w:hAnsi="宋体"/>
                      <w:bCs/>
                      <w:kern w:val="0"/>
                      <w:sz w:val="21"/>
                      <w:szCs w:val="21"/>
                    </w:rPr>
                    <w:t>设备运转</w:t>
                  </w:r>
                </w:p>
              </w:tc>
              <w:tc>
                <w:tcPr>
                  <w:tcW w:w="2002" w:type="dxa"/>
                  <w:tcBorders>
                    <w:top w:val="single" w:color="auto" w:sz="4" w:space="0"/>
                    <w:left w:val="single" w:color="auto" w:sz="4" w:space="0"/>
                    <w:bottom w:val="single" w:color="auto" w:sz="4" w:space="0"/>
                    <w:right w:val="single" w:color="auto" w:sz="4" w:space="0"/>
                  </w:tcBorders>
                  <w:vAlign w:val="center"/>
                </w:tcPr>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2024.05.08</w:t>
                  </w:r>
                </w:p>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8:49</w:t>
                  </w:r>
                </w:p>
              </w:tc>
              <w:tc>
                <w:tcPr>
                  <w:tcW w:w="207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7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3#</w:t>
                  </w:r>
                </w:p>
              </w:tc>
              <w:tc>
                <w:tcPr>
                  <w:tcW w:w="1536"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厂界西</w:t>
                  </w:r>
                  <w:r>
                    <w:rPr>
                      <w:rFonts w:hint="eastAsia" w:ascii="Times New Roman" w:hAnsi="宋体"/>
                      <w:bCs/>
                      <w:kern w:val="0"/>
                      <w:sz w:val="21"/>
                      <w:szCs w:val="21"/>
                    </w:rPr>
                    <w:t>南</w:t>
                  </w:r>
                </w:p>
              </w:tc>
              <w:tc>
                <w:tcPr>
                  <w:tcW w:w="1589"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设备运转</w:t>
                  </w:r>
                </w:p>
              </w:tc>
              <w:tc>
                <w:tcPr>
                  <w:tcW w:w="2002" w:type="dxa"/>
                  <w:tcBorders>
                    <w:top w:val="single" w:color="auto" w:sz="4" w:space="0"/>
                    <w:left w:val="single" w:color="auto" w:sz="4" w:space="0"/>
                    <w:bottom w:val="single" w:color="auto" w:sz="4" w:space="0"/>
                    <w:right w:val="single" w:color="auto" w:sz="4" w:space="0"/>
                  </w:tcBorders>
                  <w:vAlign w:val="center"/>
                </w:tcPr>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2024.05.08</w:t>
                  </w:r>
                </w:p>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8:57</w:t>
                  </w:r>
                </w:p>
              </w:tc>
              <w:tc>
                <w:tcPr>
                  <w:tcW w:w="207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7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4#</w:t>
                  </w:r>
                </w:p>
              </w:tc>
              <w:tc>
                <w:tcPr>
                  <w:tcW w:w="1536"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厂界西北</w:t>
                  </w:r>
                </w:p>
              </w:tc>
              <w:tc>
                <w:tcPr>
                  <w:tcW w:w="1589"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设备运转</w:t>
                  </w:r>
                </w:p>
              </w:tc>
              <w:tc>
                <w:tcPr>
                  <w:tcW w:w="2002" w:type="dxa"/>
                  <w:tcBorders>
                    <w:top w:val="single" w:color="auto" w:sz="4" w:space="0"/>
                    <w:left w:val="single" w:color="auto" w:sz="4" w:space="0"/>
                    <w:bottom w:val="single" w:color="auto" w:sz="4" w:space="0"/>
                    <w:right w:val="single" w:color="auto" w:sz="4" w:space="0"/>
                  </w:tcBorders>
                  <w:vAlign w:val="center"/>
                </w:tcPr>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2024.05.08</w:t>
                  </w:r>
                </w:p>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9:05</w:t>
                  </w:r>
                </w:p>
              </w:tc>
              <w:tc>
                <w:tcPr>
                  <w:tcW w:w="207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7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1#</w:t>
                  </w:r>
                </w:p>
              </w:tc>
              <w:tc>
                <w:tcPr>
                  <w:tcW w:w="1536"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厂界东北</w:t>
                  </w:r>
                </w:p>
              </w:tc>
              <w:tc>
                <w:tcPr>
                  <w:tcW w:w="1589"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highlight w:val="yellow"/>
                    </w:rPr>
                  </w:pPr>
                  <w:r>
                    <w:rPr>
                      <w:rFonts w:ascii="Times New Roman" w:hAnsi="宋体"/>
                      <w:bCs/>
                      <w:kern w:val="0"/>
                      <w:sz w:val="21"/>
                      <w:szCs w:val="21"/>
                    </w:rPr>
                    <w:t>设备运转</w:t>
                  </w:r>
                </w:p>
              </w:tc>
              <w:tc>
                <w:tcPr>
                  <w:tcW w:w="2002" w:type="dxa"/>
                  <w:tcBorders>
                    <w:top w:val="single" w:color="auto" w:sz="4" w:space="0"/>
                    <w:left w:val="single" w:color="auto" w:sz="4" w:space="0"/>
                    <w:bottom w:val="single" w:color="auto" w:sz="4" w:space="0"/>
                    <w:right w:val="single" w:color="auto" w:sz="4" w:space="0"/>
                  </w:tcBorders>
                  <w:vAlign w:val="center"/>
                </w:tcPr>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2024.05.09</w:t>
                  </w:r>
                </w:p>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15:37</w:t>
                  </w:r>
                </w:p>
              </w:tc>
              <w:tc>
                <w:tcPr>
                  <w:tcW w:w="207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7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w:t>
                  </w:r>
                </w:p>
              </w:tc>
              <w:tc>
                <w:tcPr>
                  <w:tcW w:w="1536"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厂界东南</w:t>
                  </w:r>
                </w:p>
              </w:tc>
              <w:tc>
                <w:tcPr>
                  <w:tcW w:w="1589"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highlight w:val="yellow"/>
                    </w:rPr>
                  </w:pPr>
                  <w:r>
                    <w:rPr>
                      <w:rFonts w:ascii="Times New Roman" w:hAnsi="宋体"/>
                      <w:bCs/>
                      <w:kern w:val="0"/>
                      <w:sz w:val="21"/>
                      <w:szCs w:val="21"/>
                    </w:rPr>
                    <w:t>设备运转</w:t>
                  </w:r>
                </w:p>
              </w:tc>
              <w:tc>
                <w:tcPr>
                  <w:tcW w:w="2002" w:type="dxa"/>
                  <w:tcBorders>
                    <w:top w:val="single" w:color="auto" w:sz="4" w:space="0"/>
                    <w:left w:val="single" w:color="auto" w:sz="4" w:space="0"/>
                    <w:bottom w:val="single" w:color="auto" w:sz="4" w:space="0"/>
                    <w:right w:val="single" w:color="auto" w:sz="4" w:space="0"/>
                  </w:tcBorders>
                  <w:vAlign w:val="center"/>
                </w:tcPr>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2024.05.09</w:t>
                  </w:r>
                </w:p>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15:44</w:t>
                  </w:r>
                </w:p>
              </w:tc>
              <w:tc>
                <w:tcPr>
                  <w:tcW w:w="207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7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3#</w:t>
                  </w:r>
                </w:p>
              </w:tc>
              <w:tc>
                <w:tcPr>
                  <w:tcW w:w="1536"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厂界西难</w:t>
                  </w:r>
                </w:p>
              </w:tc>
              <w:tc>
                <w:tcPr>
                  <w:tcW w:w="1589"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设备运转</w:t>
                  </w:r>
                </w:p>
              </w:tc>
              <w:tc>
                <w:tcPr>
                  <w:tcW w:w="2002" w:type="dxa"/>
                  <w:tcBorders>
                    <w:top w:val="single" w:color="auto" w:sz="4" w:space="0"/>
                    <w:left w:val="single" w:color="auto" w:sz="4" w:space="0"/>
                    <w:bottom w:val="single" w:color="auto" w:sz="4" w:space="0"/>
                    <w:right w:val="single" w:color="auto" w:sz="4" w:space="0"/>
                  </w:tcBorders>
                  <w:vAlign w:val="center"/>
                </w:tcPr>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2024.05.09</w:t>
                  </w:r>
                </w:p>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15:52</w:t>
                  </w:r>
                </w:p>
              </w:tc>
              <w:tc>
                <w:tcPr>
                  <w:tcW w:w="207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7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4#</w:t>
                  </w:r>
                </w:p>
              </w:tc>
              <w:tc>
                <w:tcPr>
                  <w:tcW w:w="1536"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厂界西北</w:t>
                  </w:r>
                </w:p>
              </w:tc>
              <w:tc>
                <w:tcPr>
                  <w:tcW w:w="1589"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宋体"/>
                      <w:bCs/>
                      <w:kern w:val="0"/>
                      <w:sz w:val="21"/>
                      <w:szCs w:val="21"/>
                    </w:rPr>
                    <w:t>设备运转</w:t>
                  </w:r>
                </w:p>
              </w:tc>
              <w:tc>
                <w:tcPr>
                  <w:tcW w:w="2002" w:type="dxa"/>
                  <w:tcBorders>
                    <w:top w:val="single" w:color="auto" w:sz="4" w:space="0"/>
                    <w:left w:val="single" w:color="auto" w:sz="4" w:space="0"/>
                    <w:bottom w:val="single" w:color="auto" w:sz="4" w:space="0"/>
                    <w:right w:val="single" w:color="auto" w:sz="4" w:space="0"/>
                  </w:tcBorders>
                  <w:vAlign w:val="center"/>
                </w:tcPr>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2024.05.09</w:t>
                  </w:r>
                </w:p>
                <w:p>
                  <w:pPr>
                    <w:spacing w:line="220" w:lineRule="exact"/>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16:00</w:t>
                  </w:r>
                </w:p>
              </w:tc>
              <w:tc>
                <w:tcPr>
                  <w:tcW w:w="207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55</w:t>
                  </w:r>
                </w:p>
              </w:tc>
            </w:tr>
          </w:tbl>
          <w:p>
            <w:pPr>
              <w:spacing w:line="360" w:lineRule="auto"/>
              <w:jc w:val="center"/>
              <w:rPr>
                <w:rFonts w:ascii="Times New Roman" w:hAnsi="Times New Roman"/>
                <w:b/>
                <w:kern w:val="0"/>
                <w:sz w:val="20"/>
                <w:szCs w:val="21"/>
              </w:rPr>
            </w:pPr>
            <w:r>
              <w:rPr>
                <w:rFonts w:hint="eastAsia" w:ascii="Times New Roman" w:hAnsi="Times New Roman"/>
                <w:b/>
                <w:kern w:val="0"/>
                <w:sz w:val="20"/>
                <w:szCs w:val="21"/>
              </w:rPr>
              <w:t>表7-7声环境保护目标噪声监测结果（单位：dB（A））</w:t>
            </w:r>
          </w:p>
          <w:tbl>
            <w:tblPr>
              <w:tblStyle w:val="34"/>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699"/>
              <w:gridCol w:w="612"/>
              <w:gridCol w:w="1231"/>
              <w:gridCol w:w="595"/>
              <w:gridCol w:w="563"/>
              <w:gridCol w:w="625"/>
              <w:gridCol w:w="498"/>
              <w:gridCol w:w="605"/>
              <w:gridCol w:w="760"/>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检测点位</w:t>
                  </w:r>
                </w:p>
              </w:tc>
              <w:tc>
                <w:tcPr>
                  <w:tcW w:w="699"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对应</w:t>
                  </w:r>
                </w:p>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位置</w:t>
                  </w:r>
                </w:p>
              </w:tc>
              <w:tc>
                <w:tcPr>
                  <w:tcW w:w="612"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主要</w:t>
                  </w:r>
                </w:p>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声源</w:t>
                  </w:r>
                </w:p>
              </w:tc>
              <w:tc>
                <w:tcPr>
                  <w:tcW w:w="123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检测时间</w:t>
                  </w:r>
                </w:p>
              </w:tc>
              <w:tc>
                <w:tcPr>
                  <w:tcW w:w="595"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
                      <w:kern w:val="0"/>
                      <w:sz w:val="21"/>
                      <w:szCs w:val="21"/>
                    </w:rPr>
                  </w:pPr>
                  <w:r>
                    <w:rPr>
                      <w:rFonts w:ascii="Times New Roman" w:hAnsi="Times New Roman"/>
                      <w:bCs/>
                      <w:kern w:val="0"/>
                      <w:sz w:val="21"/>
                      <w:szCs w:val="21"/>
                    </w:rPr>
                    <w:t>L</w:t>
                  </w:r>
                  <w:r>
                    <w:rPr>
                      <w:rFonts w:ascii="Times New Roman" w:hAnsi="Times New Roman"/>
                      <w:bCs/>
                      <w:kern w:val="0"/>
                      <w:sz w:val="21"/>
                      <w:szCs w:val="21"/>
                      <w:vertAlign w:val="subscript"/>
                    </w:rPr>
                    <w:t>eq</w:t>
                  </w:r>
                </w:p>
              </w:tc>
              <w:tc>
                <w:tcPr>
                  <w:tcW w:w="563"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L</w:t>
                  </w:r>
                  <w:r>
                    <w:rPr>
                      <w:rFonts w:ascii="Times New Roman" w:hAnsi="Times New Roman"/>
                      <w:bCs/>
                      <w:kern w:val="0"/>
                      <w:sz w:val="21"/>
                      <w:szCs w:val="21"/>
                      <w:vertAlign w:val="subscript"/>
                    </w:rPr>
                    <w:t>10</w:t>
                  </w:r>
                </w:p>
              </w:tc>
              <w:tc>
                <w:tcPr>
                  <w:tcW w:w="625"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L</w:t>
                  </w:r>
                  <w:r>
                    <w:rPr>
                      <w:rFonts w:ascii="Times New Roman" w:hAnsi="Times New Roman"/>
                      <w:bCs/>
                      <w:kern w:val="0"/>
                      <w:sz w:val="21"/>
                      <w:szCs w:val="21"/>
                      <w:vertAlign w:val="subscript"/>
                    </w:rPr>
                    <w:t>50</w:t>
                  </w:r>
                </w:p>
              </w:tc>
              <w:tc>
                <w:tcPr>
                  <w:tcW w:w="49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L</w:t>
                  </w:r>
                  <w:r>
                    <w:rPr>
                      <w:rFonts w:ascii="Times New Roman" w:hAnsi="Times New Roman"/>
                      <w:bCs/>
                      <w:kern w:val="0"/>
                      <w:sz w:val="21"/>
                      <w:szCs w:val="21"/>
                      <w:vertAlign w:val="subscript"/>
                    </w:rPr>
                    <w:t>90</w:t>
                  </w:r>
                </w:p>
              </w:tc>
              <w:tc>
                <w:tcPr>
                  <w:tcW w:w="605"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L</w:t>
                  </w:r>
                  <w:r>
                    <w:rPr>
                      <w:rFonts w:ascii="Times New Roman" w:hAnsi="Times New Roman"/>
                      <w:bCs/>
                      <w:kern w:val="0"/>
                      <w:sz w:val="21"/>
                      <w:szCs w:val="21"/>
                      <w:vertAlign w:val="subscript"/>
                    </w:rPr>
                    <w:t>max</w:t>
                  </w:r>
                </w:p>
              </w:tc>
              <w:tc>
                <w:tcPr>
                  <w:tcW w:w="760"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L</w:t>
                  </w:r>
                  <w:r>
                    <w:rPr>
                      <w:rFonts w:ascii="Times New Roman" w:hAnsi="Times New Roman"/>
                      <w:bCs/>
                      <w:kern w:val="0"/>
                      <w:sz w:val="21"/>
                      <w:szCs w:val="21"/>
                      <w:vertAlign w:val="subscript"/>
                    </w:rPr>
                    <w:t>min</w:t>
                  </w:r>
                </w:p>
              </w:tc>
              <w:tc>
                <w:tcPr>
                  <w:tcW w:w="747"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kern w:val="0"/>
                      <w:sz w:val="21"/>
                      <w:szCs w:val="21"/>
                    </w:rPr>
                  </w:pPr>
                  <w:r>
                    <w:rPr>
                      <w:rFonts w:ascii="Times New Roman" w:hAnsi="Times New Roman"/>
                      <w:bCs/>
                      <w:kern w:val="0"/>
                      <w:sz w:val="21"/>
                      <w:szCs w:val="21"/>
                    </w:rPr>
                    <w:t>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2" w:type="dxa"/>
                  <w:vMerge w:val="restart"/>
                  <w:tcBorders>
                    <w:top w:val="single" w:color="auto" w:sz="4" w:space="0"/>
                    <w:left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星乐小区二区</w:t>
                  </w:r>
                </w:p>
              </w:tc>
              <w:tc>
                <w:tcPr>
                  <w:tcW w:w="699" w:type="dxa"/>
                  <w:vMerge w:val="restart"/>
                  <w:tcBorders>
                    <w:top w:val="single" w:color="auto" w:sz="4" w:space="0"/>
                    <w:left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5#</w:t>
                  </w:r>
                </w:p>
              </w:tc>
              <w:tc>
                <w:tcPr>
                  <w:tcW w:w="612" w:type="dxa"/>
                  <w:vMerge w:val="restart"/>
                  <w:tcBorders>
                    <w:top w:val="single" w:color="auto" w:sz="4" w:space="0"/>
                    <w:left w:val="single" w:color="auto" w:sz="4" w:space="0"/>
                    <w:right w:val="single" w:color="auto" w:sz="4" w:space="0"/>
                  </w:tcBorders>
                  <w:vAlign w:val="center"/>
                </w:tcPr>
                <w:p>
                  <w:pPr>
                    <w:ind w:left="-4" w:leftChars="-2" w:right="-34" w:rightChars="-16" w:firstLine="2" w:firstLineChars="1"/>
                    <w:jc w:val="center"/>
                    <w:rPr>
                      <w:rFonts w:ascii="Times New Roman" w:hAnsi="Times New Roman" w:eastAsiaTheme="minorEastAsia"/>
                      <w:bCs/>
                      <w:kern w:val="0"/>
                      <w:sz w:val="21"/>
                      <w:szCs w:val="21"/>
                    </w:rPr>
                  </w:pPr>
                  <w:r>
                    <w:rPr>
                      <w:rFonts w:ascii="Times New Roman" w:hAnsi="Times New Roman"/>
                      <w:bCs/>
                      <w:kern w:val="0"/>
                      <w:sz w:val="21"/>
                      <w:szCs w:val="21"/>
                    </w:rPr>
                    <w:t>设备</w:t>
                  </w:r>
                </w:p>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运转</w:t>
                  </w:r>
                </w:p>
              </w:tc>
              <w:tc>
                <w:tcPr>
                  <w:tcW w:w="123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2024.05.08</w:t>
                  </w:r>
                </w:p>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9:13</w:t>
                  </w:r>
                </w:p>
              </w:tc>
              <w:tc>
                <w:tcPr>
                  <w:tcW w:w="595"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52</w:t>
                  </w:r>
                </w:p>
              </w:tc>
              <w:tc>
                <w:tcPr>
                  <w:tcW w:w="563"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56</w:t>
                  </w:r>
                </w:p>
              </w:tc>
              <w:tc>
                <w:tcPr>
                  <w:tcW w:w="625"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49</w:t>
                  </w:r>
                </w:p>
              </w:tc>
              <w:tc>
                <w:tcPr>
                  <w:tcW w:w="49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42</w:t>
                  </w:r>
                </w:p>
              </w:tc>
              <w:tc>
                <w:tcPr>
                  <w:tcW w:w="605"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67</w:t>
                  </w:r>
                </w:p>
              </w:tc>
              <w:tc>
                <w:tcPr>
                  <w:tcW w:w="760"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29</w:t>
                  </w:r>
                </w:p>
              </w:tc>
              <w:tc>
                <w:tcPr>
                  <w:tcW w:w="747"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kern w:val="0"/>
                      <w:sz w:val="21"/>
                      <w:szCs w:val="21"/>
                    </w:rPr>
                  </w:pPr>
                  <w:r>
                    <w:rPr>
                      <w:rFonts w:ascii="Times New Roman" w:hAnsi="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02" w:type="dxa"/>
                  <w:vMerge w:val="continue"/>
                  <w:tcBorders>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p>
              </w:tc>
              <w:tc>
                <w:tcPr>
                  <w:tcW w:w="699" w:type="dxa"/>
                  <w:vMerge w:val="continue"/>
                  <w:tcBorders>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p>
              </w:tc>
              <w:tc>
                <w:tcPr>
                  <w:tcW w:w="612" w:type="dxa"/>
                  <w:vMerge w:val="continue"/>
                  <w:tcBorders>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p>
              </w:tc>
              <w:tc>
                <w:tcPr>
                  <w:tcW w:w="1231"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2024.05.09</w:t>
                  </w:r>
                </w:p>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16:09</w:t>
                  </w:r>
                </w:p>
              </w:tc>
              <w:tc>
                <w:tcPr>
                  <w:tcW w:w="595"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52</w:t>
                  </w:r>
                </w:p>
              </w:tc>
              <w:tc>
                <w:tcPr>
                  <w:tcW w:w="563"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55</w:t>
                  </w:r>
                </w:p>
              </w:tc>
              <w:tc>
                <w:tcPr>
                  <w:tcW w:w="625"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50</w:t>
                  </w:r>
                </w:p>
              </w:tc>
              <w:tc>
                <w:tcPr>
                  <w:tcW w:w="498"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45</w:t>
                  </w:r>
                </w:p>
              </w:tc>
              <w:tc>
                <w:tcPr>
                  <w:tcW w:w="605"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68</w:t>
                  </w:r>
                </w:p>
              </w:tc>
              <w:tc>
                <w:tcPr>
                  <w:tcW w:w="760"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bCs/>
                      <w:kern w:val="0"/>
                      <w:sz w:val="21"/>
                      <w:szCs w:val="21"/>
                    </w:rPr>
                  </w:pPr>
                  <w:r>
                    <w:rPr>
                      <w:rFonts w:ascii="Times New Roman" w:hAnsi="Times New Roman"/>
                      <w:bCs/>
                      <w:kern w:val="0"/>
                      <w:sz w:val="21"/>
                      <w:szCs w:val="21"/>
                    </w:rPr>
                    <w:t>30</w:t>
                  </w:r>
                </w:p>
              </w:tc>
              <w:tc>
                <w:tcPr>
                  <w:tcW w:w="747" w:type="dxa"/>
                  <w:tcBorders>
                    <w:top w:val="single" w:color="auto" w:sz="4" w:space="0"/>
                    <w:left w:val="single" w:color="auto" w:sz="4" w:space="0"/>
                    <w:bottom w:val="single" w:color="auto" w:sz="4" w:space="0"/>
                    <w:right w:val="single" w:color="auto" w:sz="4" w:space="0"/>
                  </w:tcBorders>
                  <w:vAlign w:val="center"/>
                </w:tcPr>
                <w:p>
                  <w:pPr>
                    <w:ind w:left="-4" w:leftChars="-2" w:right="-34" w:rightChars="-16" w:firstLine="2" w:firstLineChars="1"/>
                    <w:jc w:val="center"/>
                    <w:rPr>
                      <w:rFonts w:ascii="Times New Roman" w:hAnsi="Times New Roman"/>
                      <w:kern w:val="0"/>
                      <w:sz w:val="21"/>
                      <w:szCs w:val="21"/>
                    </w:rPr>
                  </w:pPr>
                  <w:r>
                    <w:rPr>
                      <w:rFonts w:ascii="Times New Roman" w:hAnsi="Times New Roman"/>
                      <w:kern w:val="0"/>
                      <w:sz w:val="21"/>
                      <w:szCs w:val="21"/>
                    </w:rPr>
                    <w:t>4</w:t>
                  </w:r>
                </w:p>
              </w:tc>
            </w:tr>
          </w:tbl>
          <w:p>
            <w:pPr>
              <w:spacing w:line="360" w:lineRule="auto"/>
              <w:ind w:firstLine="480" w:firstLineChars="200"/>
              <w:rPr>
                <w:rFonts w:ascii="Times New Roman" w:hAnsi="Times New Roman"/>
                <w:kern w:val="0"/>
                <w:sz w:val="24"/>
              </w:rPr>
            </w:pPr>
            <w:r>
              <w:rPr>
                <w:rFonts w:hint="eastAsia" w:ascii="Times New Roman" w:hAnsi="Times New Roman"/>
                <w:kern w:val="0"/>
                <w:sz w:val="24"/>
              </w:rPr>
              <w:t>验收监测期间，</w:t>
            </w:r>
            <w:r>
              <w:rPr>
                <w:rFonts w:hint="eastAsia" w:ascii="Times New Roman" w:hAnsi="Times New Roman"/>
                <w:kern w:val="0"/>
                <w:sz w:val="24"/>
                <w:lang w:val="en-US" w:eastAsia="zh-CN"/>
              </w:rPr>
              <w:t>学校场界</w:t>
            </w:r>
            <w:r>
              <w:rPr>
                <w:rFonts w:hint="eastAsia" w:ascii="Times New Roman" w:hAnsi="Times New Roman"/>
                <w:kern w:val="0"/>
                <w:sz w:val="24"/>
              </w:rPr>
              <w:t>东南、西南、西北侧厂界噪声排放均满足《工业企业厂界环境噪声排放标准》（</w:t>
            </w:r>
            <w:r>
              <w:rPr>
                <w:rFonts w:ascii="Times New Roman" w:hAnsi="Times New Roman"/>
                <w:kern w:val="0"/>
                <w:sz w:val="24"/>
              </w:rPr>
              <w:t>GB-12348-2008</w:t>
            </w:r>
            <w:r>
              <w:rPr>
                <w:rFonts w:hint="eastAsia" w:ascii="Times New Roman" w:hAnsi="Times New Roman"/>
                <w:kern w:val="0"/>
                <w:sz w:val="24"/>
              </w:rPr>
              <w:t>）中</w:t>
            </w:r>
            <w:r>
              <w:rPr>
                <w:rFonts w:ascii="Times New Roman" w:hAnsi="Times New Roman"/>
                <w:kern w:val="0"/>
                <w:sz w:val="24"/>
              </w:rPr>
              <w:t>2</w:t>
            </w:r>
            <w:r>
              <w:rPr>
                <w:rFonts w:hint="eastAsia" w:ascii="Times New Roman" w:hAnsi="Times New Roman"/>
                <w:kern w:val="0"/>
                <w:sz w:val="24"/>
              </w:rPr>
              <w:t>类排放标准限值，东北侧噪声排放满足4a类标准要求。声环境保护目标噪声监测值能满足《声环境质量标准》（GB3096-2008）中2类标准要求。</w:t>
            </w:r>
          </w:p>
          <w:p>
            <w:pPr>
              <w:adjustRightInd w:val="0"/>
              <w:snapToGrid w:val="0"/>
              <w:spacing w:beforeLines="20" w:line="360" w:lineRule="auto"/>
              <w:ind w:firstLine="482" w:firstLineChars="200"/>
              <w:rPr>
                <w:kern w:val="0"/>
                <w:sz w:val="24"/>
              </w:rPr>
            </w:pPr>
            <w:bookmarkStart w:id="30" w:name="_Toc25893"/>
            <w:r>
              <w:rPr>
                <w:rFonts w:ascii="Times New Roman" w:hAnsi="Times New Roman" w:cs="宋体"/>
                <w:b/>
                <w:bCs/>
                <w:color w:val="000000" w:themeColor="text1"/>
                <w:kern w:val="0"/>
                <w:sz w:val="24"/>
              </w:rPr>
              <w:t>7.2.4</w:t>
            </w:r>
            <w:r>
              <w:rPr>
                <w:rFonts w:hint="eastAsia" w:ascii="Times New Roman" w:hAnsi="Times New Roman" w:cs="宋体"/>
                <w:b/>
                <w:bCs/>
                <w:color w:val="000000" w:themeColor="text1"/>
                <w:kern w:val="0"/>
                <w:sz w:val="24"/>
              </w:rPr>
              <w:t>污染物排放总量核算</w:t>
            </w:r>
            <w:bookmarkEnd w:id="30"/>
          </w:p>
          <w:p>
            <w:pPr>
              <w:adjustRightInd w:val="0"/>
              <w:snapToGrid w:val="0"/>
              <w:spacing w:line="360" w:lineRule="auto"/>
              <w:ind w:firstLine="480" w:firstLineChars="200"/>
              <w:rPr>
                <w:rFonts w:ascii="Times New Roman" w:hAnsi="Times New Roman" w:cs="宋体"/>
                <w:color w:val="000000" w:themeColor="text1"/>
                <w:kern w:val="0"/>
                <w:sz w:val="24"/>
              </w:rPr>
            </w:pPr>
            <w:r>
              <w:rPr>
                <w:rFonts w:hint="eastAsia" w:ascii="Times New Roman" w:hAnsi="Times New Roman" w:cs="宋体"/>
                <w:color w:val="000000" w:themeColor="text1"/>
                <w:kern w:val="0"/>
                <w:sz w:val="24"/>
              </w:rPr>
              <w:t>（</w:t>
            </w:r>
            <w:r>
              <w:rPr>
                <w:rFonts w:ascii="Times New Roman" w:hAnsi="Times New Roman" w:cs="宋体"/>
                <w:color w:val="000000" w:themeColor="text1"/>
                <w:kern w:val="0"/>
                <w:sz w:val="24"/>
              </w:rPr>
              <w:t>1</w:t>
            </w:r>
            <w:r>
              <w:rPr>
                <w:rFonts w:hint="eastAsia" w:ascii="Times New Roman" w:hAnsi="Times New Roman" w:cs="宋体"/>
                <w:color w:val="000000" w:themeColor="text1"/>
                <w:kern w:val="0"/>
                <w:sz w:val="24"/>
              </w:rPr>
              <w:t>）废水</w:t>
            </w:r>
          </w:p>
          <w:p>
            <w:pPr>
              <w:adjustRightInd w:val="0"/>
              <w:snapToGrid w:val="0"/>
              <w:spacing w:line="360" w:lineRule="auto"/>
              <w:ind w:firstLine="480" w:firstLineChars="200"/>
              <w:rPr>
                <w:rFonts w:ascii="Times New Roman" w:hAnsi="Times New Roman" w:cs="宋体"/>
                <w:color w:val="000000" w:themeColor="text1"/>
                <w:kern w:val="0"/>
                <w:sz w:val="24"/>
              </w:rPr>
            </w:pPr>
            <w:r>
              <w:rPr>
                <w:rFonts w:hint="eastAsia" w:ascii="Times New Roman" w:hAnsi="Times New Roman" w:cs="宋体"/>
                <w:color w:val="000000" w:themeColor="text1"/>
                <w:kern w:val="0"/>
                <w:sz w:val="24"/>
              </w:rPr>
              <w:t>根据废水排放量和污染物排入环境的限值（化学需氧量</w:t>
            </w:r>
            <w:r>
              <w:rPr>
                <w:rFonts w:ascii="Times New Roman" w:hAnsi="Times New Roman" w:cs="宋体"/>
                <w:color w:val="000000" w:themeColor="text1"/>
                <w:kern w:val="0"/>
                <w:sz w:val="24"/>
              </w:rPr>
              <w:t>≤</w:t>
            </w:r>
            <w:r>
              <w:rPr>
                <w:rFonts w:hint="eastAsia" w:ascii="Times New Roman" w:hAnsi="Times New Roman" w:cs="宋体"/>
                <w:color w:val="000000" w:themeColor="text1"/>
                <w:kern w:val="0"/>
                <w:sz w:val="24"/>
              </w:rPr>
              <w:t>40</w:t>
            </w:r>
            <w:r>
              <w:rPr>
                <w:rFonts w:ascii="Times New Roman" w:hAnsi="Times New Roman" w:cs="宋体"/>
                <w:color w:val="000000" w:themeColor="text1"/>
                <w:kern w:val="0"/>
                <w:sz w:val="24"/>
              </w:rPr>
              <w:t>mg/L</w:t>
            </w:r>
            <w:r>
              <w:rPr>
                <w:rFonts w:hint="eastAsia" w:ascii="Times New Roman" w:hAnsi="Times New Roman" w:cs="宋体"/>
                <w:color w:val="000000" w:themeColor="text1"/>
                <w:kern w:val="0"/>
                <w:sz w:val="24"/>
              </w:rPr>
              <w:t>，氨氮</w:t>
            </w:r>
            <w:r>
              <w:rPr>
                <w:rFonts w:ascii="Times New Roman" w:hAnsi="Times New Roman" w:cs="宋体"/>
                <w:color w:val="000000" w:themeColor="text1"/>
                <w:kern w:val="0"/>
                <w:sz w:val="24"/>
              </w:rPr>
              <w:t>≤</w:t>
            </w:r>
            <w:r>
              <w:rPr>
                <w:rFonts w:hint="eastAsia" w:ascii="Times New Roman" w:hAnsi="Times New Roman" w:cs="宋体"/>
                <w:color w:val="000000" w:themeColor="text1"/>
                <w:kern w:val="0"/>
                <w:sz w:val="24"/>
              </w:rPr>
              <w:t>2</w:t>
            </w:r>
            <w:r>
              <w:rPr>
                <w:rFonts w:ascii="Times New Roman" w:hAnsi="Times New Roman" w:cs="宋体"/>
                <w:color w:val="000000" w:themeColor="text1"/>
                <w:kern w:val="0"/>
                <w:sz w:val="24"/>
              </w:rPr>
              <w:t>mg/L</w:t>
            </w:r>
            <w:r>
              <w:rPr>
                <w:rFonts w:hint="eastAsia" w:ascii="Times New Roman" w:hAnsi="Times New Roman" w:cs="宋体"/>
                <w:color w:val="000000" w:themeColor="text1"/>
                <w:kern w:val="0"/>
                <w:sz w:val="24"/>
              </w:rPr>
              <w:t>），计算项目废水污染因子环境排量：</w:t>
            </w:r>
          </w:p>
          <w:p>
            <w:pPr>
              <w:adjustRightInd w:val="0"/>
              <w:snapToGrid w:val="0"/>
              <w:spacing w:line="360" w:lineRule="auto"/>
              <w:ind w:firstLine="480" w:firstLineChars="200"/>
              <w:rPr>
                <w:rFonts w:ascii="Times New Roman" w:hAnsi="Times New Roman" w:cs="宋体"/>
                <w:color w:val="000000" w:themeColor="text1"/>
                <w:kern w:val="0"/>
                <w:sz w:val="24"/>
              </w:rPr>
            </w:pPr>
            <w:r>
              <w:rPr>
                <w:rFonts w:hint="eastAsia" w:ascii="Times New Roman" w:hAnsi="Times New Roman"/>
                <w:kern w:val="0"/>
                <w:sz w:val="24"/>
              </w:rPr>
              <w:t>项目废水主要为生活污水、食堂含油废水、实验室废水、游泳池废水。食堂厨房含油废水经隔油除渣等预处理、冲厕废水经化粪池预处理、实验室废水经中和池处理后纳入城市污水管网；游泳池废水平均每个月排放一次，废水需先经过滤除去毛发等杂质，再沉淀去除SS后，与经化粪池预处理后的其它生活污水一道接入污水管网后送临平净水厂处理</w:t>
            </w:r>
            <w:r>
              <w:rPr>
                <w:rFonts w:hint="eastAsia" w:ascii="Times New Roman" w:hAnsi="Times New Roman" w:cs="宋体"/>
                <w:color w:val="000000" w:themeColor="text1"/>
                <w:kern w:val="0"/>
                <w:sz w:val="24"/>
              </w:rPr>
              <w:t>。根据企业提供资料，</w:t>
            </w:r>
            <w:r>
              <w:rPr>
                <w:rFonts w:hint="eastAsia" w:ascii="Times New Roman" w:hAnsi="Times New Roman" w:cs="宋体"/>
                <w:color w:val="FF0000"/>
                <w:kern w:val="0"/>
                <w:sz w:val="24"/>
              </w:rPr>
              <w:t>项目</w:t>
            </w:r>
            <w:r>
              <w:rPr>
                <w:rFonts w:ascii="Times New Roman" w:hAnsi="Times New Roman" w:cs="宋体"/>
                <w:color w:val="FF0000"/>
                <w:kern w:val="0"/>
                <w:sz w:val="24"/>
              </w:rPr>
              <w:t>2024</w:t>
            </w:r>
            <w:r>
              <w:rPr>
                <w:rFonts w:hint="eastAsia" w:ascii="Times New Roman" w:hAnsi="Times New Roman" w:cs="宋体"/>
                <w:color w:val="FF0000"/>
                <w:kern w:val="0"/>
                <w:sz w:val="24"/>
              </w:rPr>
              <w:t>年4月总自来水用水量约726</w:t>
            </w:r>
            <w:r>
              <w:rPr>
                <w:rFonts w:hint="eastAsia" w:ascii="Times New Roman" w:hAnsi="Times New Roman" w:cs="宋体"/>
                <w:color w:val="FF0000"/>
                <w:kern w:val="0"/>
                <w:sz w:val="24"/>
                <w:lang w:val="en-US" w:eastAsia="zh-CN"/>
              </w:rPr>
              <w:t>5</w:t>
            </w:r>
            <w:r>
              <w:rPr>
                <w:rFonts w:ascii="Times New Roman" w:hAnsi="Times New Roman" w:cs="宋体"/>
                <w:color w:val="FF0000"/>
                <w:kern w:val="0"/>
                <w:sz w:val="24"/>
              </w:rPr>
              <w:t>t</w:t>
            </w:r>
            <w:r>
              <w:rPr>
                <w:rFonts w:hint="eastAsia" w:ascii="Times New Roman" w:hAnsi="Times New Roman" w:cs="宋体"/>
                <w:color w:val="FF0000"/>
                <w:kern w:val="0"/>
                <w:sz w:val="24"/>
              </w:rPr>
              <w:t>，折算满负荷后总用水量约871</w:t>
            </w:r>
            <w:r>
              <w:rPr>
                <w:rFonts w:hint="eastAsia" w:ascii="Times New Roman" w:hAnsi="Times New Roman" w:cs="宋体"/>
                <w:color w:val="FF0000"/>
                <w:kern w:val="0"/>
                <w:sz w:val="24"/>
                <w:lang w:val="en-US" w:eastAsia="zh-CN"/>
              </w:rPr>
              <w:t>8</w:t>
            </w:r>
            <w:r>
              <w:rPr>
                <w:rFonts w:hint="eastAsia" w:ascii="Times New Roman" w:hAnsi="Times New Roman" w:cs="宋体"/>
                <w:color w:val="FF0000"/>
                <w:kern w:val="0"/>
                <w:sz w:val="24"/>
              </w:rPr>
              <w:t>0</w:t>
            </w:r>
            <w:r>
              <w:rPr>
                <w:rFonts w:ascii="Times New Roman" w:hAnsi="Times New Roman" w:cs="宋体"/>
                <w:color w:val="FF0000"/>
                <w:kern w:val="0"/>
                <w:sz w:val="24"/>
              </w:rPr>
              <w:t>t/a</w:t>
            </w:r>
            <w:r>
              <w:rPr>
                <w:rFonts w:hint="eastAsia" w:ascii="Times New Roman" w:hAnsi="Times New Roman" w:cs="宋体"/>
                <w:color w:val="FF0000"/>
                <w:kern w:val="0"/>
                <w:sz w:val="24"/>
              </w:rPr>
              <w:t>，其中实验室用水85t/a全部排放；其余用水87035t/a，排放量以用水量的85%计，则合计废水年排环境量约74</w:t>
            </w:r>
            <w:r>
              <w:rPr>
                <w:rFonts w:hint="eastAsia" w:ascii="Times New Roman" w:hAnsi="Times New Roman" w:cs="宋体"/>
                <w:color w:val="FF0000"/>
                <w:kern w:val="0"/>
                <w:sz w:val="24"/>
                <w:lang w:val="en-US" w:eastAsia="zh-CN"/>
              </w:rPr>
              <w:t>116</w:t>
            </w:r>
            <w:r>
              <w:rPr>
                <w:rFonts w:hint="eastAsia" w:ascii="Times New Roman" w:hAnsi="Times New Roman" w:cs="宋体"/>
                <w:color w:val="FF0000"/>
                <w:kern w:val="0"/>
                <w:sz w:val="24"/>
              </w:rPr>
              <w:t>吨，化学需氧量年排环境量为2.96</w:t>
            </w:r>
            <w:r>
              <w:rPr>
                <w:rFonts w:hint="eastAsia" w:ascii="Times New Roman" w:hAnsi="Times New Roman" w:cs="宋体"/>
                <w:color w:val="FF0000"/>
                <w:kern w:val="0"/>
                <w:sz w:val="24"/>
                <w:lang w:val="en-US" w:eastAsia="zh-CN"/>
              </w:rPr>
              <w:t>5</w:t>
            </w:r>
            <w:r>
              <w:rPr>
                <w:rFonts w:hint="eastAsia" w:ascii="Times New Roman" w:hAnsi="Times New Roman" w:cs="宋体"/>
                <w:color w:val="FF0000"/>
                <w:kern w:val="0"/>
                <w:sz w:val="24"/>
              </w:rPr>
              <w:t>吨，氨氮年排环境量为0.148吨，符合总量控制标准</w:t>
            </w:r>
            <w:r>
              <w:rPr>
                <w:rFonts w:hint="eastAsia" w:ascii="Times New Roman" w:hAnsi="Times New Roman" w:cs="宋体"/>
                <w:color w:val="000000" w:themeColor="text1"/>
                <w:kern w:val="0"/>
                <w:sz w:val="24"/>
              </w:rPr>
              <w:t>（</w:t>
            </w:r>
            <w:r>
              <w:rPr>
                <w:rFonts w:hint="eastAsia" w:ascii="Times New Roman" w:hAnsi="Times New Roman" w:cs="宋体"/>
                <w:bCs/>
                <w:color w:val="FF0000"/>
                <w:kern w:val="0"/>
                <w:sz w:val="24"/>
              </w:rPr>
              <w:t>余杭区星桥九年一贯制学校项目</w:t>
            </w:r>
            <w:r>
              <w:rPr>
                <w:rFonts w:hint="eastAsia" w:ascii="Times New Roman" w:hAnsi="Times New Roman" w:cs="宋体"/>
                <w:bCs/>
                <w:color w:val="FF0000"/>
                <w:kern w:val="0"/>
                <w:sz w:val="24"/>
                <w:lang w:val="en-US" w:eastAsia="zh-CN"/>
              </w:rPr>
              <w:t>原环评审批时按</w:t>
            </w:r>
            <w:r>
              <w:rPr>
                <w:rFonts w:hint="eastAsia" w:ascii="Times New Roman" w:hAnsi="Times New Roman" w:cs="宋体"/>
                <w:color w:val="FF0000"/>
                <w:kern w:val="0"/>
                <w:sz w:val="24"/>
              </w:rPr>
              <w:t>化学需氧量</w:t>
            </w:r>
            <w:r>
              <w:rPr>
                <w:rFonts w:ascii="Times New Roman" w:hAnsi="Times New Roman" w:cs="宋体"/>
                <w:color w:val="FF0000"/>
                <w:kern w:val="0"/>
                <w:sz w:val="24"/>
              </w:rPr>
              <w:t>≤</w:t>
            </w:r>
            <w:r>
              <w:rPr>
                <w:rFonts w:hint="eastAsia" w:ascii="Times New Roman" w:hAnsi="Times New Roman" w:cs="宋体"/>
                <w:color w:val="FF0000"/>
                <w:kern w:val="0"/>
                <w:sz w:val="24"/>
                <w:lang w:val="en-US" w:eastAsia="zh-CN"/>
              </w:rPr>
              <w:t>35</w:t>
            </w:r>
            <w:r>
              <w:rPr>
                <w:rFonts w:ascii="Times New Roman" w:hAnsi="Times New Roman" w:cs="宋体"/>
                <w:color w:val="FF0000"/>
                <w:kern w:val="0"/>
                <w:sz w:val="24"/>
              </w:rPr>
              <w:t>mg/L</w:t>
            </w:r>
            <w:r>
              <w:rPr>
                <w:rFonts w:hint="eastAsia" w:ascii="Times New Roman" w:hAnsi="Times New Roman" w:cs="宋体"/>
                <w:color w:val="FF0000"/>
                <w:kern w:val="0"/>
                <w:sz w:val="24"/>
              </w:rPr>
              <w:t>，氨氮</w:t>
            </w:r>
            <w:r>
              <w:rPr>
                <w:rFonts w:ascii="Times New Roman" w:hAnsi="Times New Roman" w:cs="宋体"/>
                <w:color w:val="FF0000"/>
                <w:kern w:val="0"/>
                <w:sz w:val="24"/>
              </w:rPr>
              <w:t>≤</w:t>
            </w:r>
            <w:r>
              <w:rPr>
                <w:rFonts w:hint="eastAsia" w:ascii="Times New Roman" w:hAnsi="Times New Roman" w:cs="宋体"/>
                <w:color w:val="FF0000"/>
                <w:kern w:val="0"/>
                <w:sz w:val="24"/>
              </w:rPr>
              <w:t>2</w:t>
            </w:r>
            <w:r>
              <w:rPr>
                <w:rFonts w:hint="eastAsia" w:ascii="Times New Roman" w:hAnsi="Times New Roman" w:cs="宋体"/>
                <w:color w:val="FF0000"/>
                <w:kern w:val="0"/>
                <w:sz w:val="24"/>
                <w:lang w:val="en-US" w:eastAsia="zh-CN"/>
              </w:rPr>
              <w:t>.5</w:t>
            </w:r>
            <w:r>
              <w:rPr>
                <w:rFonts w:ascii="Times New Roman" w:hAnsi="Times New Roman" w:cs="宋体"/>
                <w:color w:val="FF0000"/>
                <w:kern w:val="0"/>
                <w:sz w:val="24"/>
              </w:rPr>
              <w:t>mg/L</w:t>
            </w:r>
            <w:r>
              <w:rPr>
                <w:rFonts w:hint="eastAsia" w:ascii="Times New Roman" w:hAnsi="Times New Roman" w:cs="宋体"/>
                <w:color w:val="FF0000"/>
                <w:kern w:val="0"/>
                <w:sz w:val="24"/>
                <w:lang w:val="en-US" w:eastAsia="zh-CN"/>
              </w:rPr>
              <w:t>核算，</w:t>
            </w:r>
            <w:r>
              <w:rPr>
                <w:rFonts w:hint="eastAsia" w:ascii="Times New Roman" w:hAnsi="Times New Roman" w:cs="宋体"/>
                <w:color w:val="FF0000"/>
                <w:kern w:val="0"/>
                <w:sz w:val="24"/>
              </w:rPr>
              <w:t>年排化学需氧量</w:t>
            </w:r>
            <w:r>
              <w:rPr>
                <w:rFonts w:ascii="Times New Roman" w:hAnsi="Times New Roman" w:cs="宋体"/>
                <w:color w:val="FF0000"/>
                <w:kern w:val="0"/>
                <w:sz w:val="24"/>
              </w:rPr>
              <w:t>≤</w:t>
            </w:r>
            <w:r>
              <w:rPr>
                <w:rFonts w:hint="eastAsia" w:ascii="Times New Roman" w:hAnsi="Times New Roman" w:cs="宋体"/>
                <w:color w:val="FF0000"/>
                <w:kern w:val="0"/>
                <w:sz w:val="24"/>
              </w:rPr>
              <w:t>2.</w:t>
            </w:r>
            <w:r>
              <w:rPr>
                <w:rFonts w:hint="eastAsia" w:ascii="Times New Roman" w:hAnsi="Times New Roman" w:cs="宋体"/>
                <w:color w:val="FF0000"/>
                <w:kern w:val="0"/>
                <w:sz w:val="24"/>
                <w:lang w:val="en-US" w:eastAsia="zh-CN"/>
              </w:rPr>
              <w:t>60</w:t>
            </w:r>
            <w:r>
              <w:rPr>
                <w:rFonts w:ascii="Times New Roman" w:hAnsi="Times New Roman" w:cs="宋体"/>
                <w:color w:val="FF0000"/>
                <w:kern w:val="0"/>
                <w:sz w:val="24"/>
              </w:rPr>
              <w:t>t/a</w:t>
            </w:r>
            <w:r>
              <w:rPr>
                <w:rFonts w:hint="eastAsia" w:ascii="Times New Roman" w:hAnsi="Times New Roman" w:cs="宋体"/>
                <w:color w:val="FF0000"/>
                <w:kern w:val="0"/>
                <w:sz w:val="24"/>
              </w:rPr>
              <w:t>，氨氮</w:t>
            </w:r>
            <w:r>
              <w:rPr>
                <w:rFonts w:ascii="Times New Roman" w:hAnsi="Times New Roman" w:cs="宋体"/>
                <w:color w:val="FF0000"/>
                <w:kern w:val="0"/>
                <w:sz w:val="24"/>
              </w:rPr>
              <w:t>≤</w:t>
            </w:r>
            <w:r>
              <w:rPr>
                <w:rFonts w:hint="eastAsia" w:ascii="Times New Roman" w:hAnsi="Times New Roman" w:cs="宋体"/>
                <w:color w:val="FF0000"/>
                <w:kern w:val="0"/>
                <w:sz w:val="24"/>
              </w:rPr>
              <w:t>0.</w:t>
            </w:r>
            <w:r>
              <w:rPr>
                <w:rFonts w:hint="eastAsia" w:ascii="Times New Roman" w:hAnsi="Times New Roman" w:cs="宋体"/>
                <w:color w:val="FF0000"/>
                <w:kern w:val="0"/>
                <w:sz w:val="24"/>
                <w:lang w:val="en-US" w:eastAsia="zh-CN"/>
              </w:rPr>
              <w:t>20</w:t>
            </w:r>
            <w:r>
              <w:rPr>
                <w:rFonts w:ascii="Times New Roman" w:hAnsi="Times New Roman" w:cs="宋体"/>
                <w:color w:val="FF0000"/>
                <w:kern w:val="0"/>
                <w:sz w:val="24"/>
              </w:rPr>
              <w:t>t/a</w:t>
            </w:r>
            <w:r>
              <w:rPr>
                <w:rFonts w:hint="eastAsia" w:ascii="Times New Roman" w:hAnsi="Times New Roman" w:cs="宋体"/>
                <w:color w:val="FF0000"/>
                <w:kern w:val="0"/>
                <w:sz w:val="24"/>
                <w:lang w:eastAsia="zh-CN"/>
              </w:rPr>
              <w:t>；</w:t>
            </w:r>
            <w:r>
              <w:rPr>
                <w:rFonts w:hint="eastAsia" w:ascii="Times New Roman" w:hAnsi="Times New Roman" w:cs="宋体"/>
                <w:color w:val="FF0000"/>
                <w:kern w:val="0"/>
                <w:sz w:val="24"/>
                <w:lang w:val="en-US" w:eastAsia="zh-CN"/>
              </w:rPr>
              <w:t>现状根据临平净水厂出水标准，按</w:t>
            </w:r>
            <w:r>
              <w:rPr>
                <w:rFonts w:hint="eastAsia" w:ascii="Times New Roman" w:hAnsi="Times New Roman" w:cs="宋体"/>
                <w:color w:val="FF0000"/>
                <w:kern w:val="0"/>
                <w:sz w:val="24"/>
              </w:rPr>
              <w:t>化学需氧量</w:t>
            </w:r>
            <w:r>
              <w:rPr>
                <w:rFonts w:ascii="Times New Roman" w:hAnsi="Times New Roman" w:cs="宋体"/>
                <w:color w:val="FF0000"/>
                <w:kern w:val="0"/>
                <w:sz w:val="24"/>
              </w:rPr>
              <w:t>≤</w:t>
            </w:r>
            <w:r>
              <w:rPr>
                <w:rFonts w:hint="eastAsia" w:ascii="Times New Roman" w:hAnsi="Times New Roman" w:cs="宋体"/>
                <w:color w:val="FF0000"/>
                <w:kern w:val="0"/>
                <w:sz w:val="24"/>
              </w:rPr>
              <w:t>40</w:t>
            </w:r>
            <w:r>
              <w:rPr>
                <w:rFonts w:ascii="Times New Roman" w:hAnsi="Times New Roman" w:cs="宋体"/>
                <w:color w:val="FF0000"/>
                <w:kern w:val="0"/>
                <w:sz w:val="24"/>
              </w:rPr>
              <w:t>mg/L</w:t>
            </w:r>
            <w:r>
              <w:rPr>
                <w:rFonts w:hint="eastAsia" w:ascii="Times New Roman" w:hAnsi="Times New Roman" w:cs="宋体"/>
                <w:color w:val="FF0000"/>
                <w:kern w:val="0"/>
                <w:sz w:val="24"/>
              </w:rPr>
              <w:t>，氨氮</w:t>
            </w:r>
            <w:r>
              <w:rPr>
                <w:rFonts w:ascii="Times New Roman" w:hAnsi="Times New Roman" w:cs="宋体"/>
                <w:color w:val="FF0000"/>
                <w:kern w:val="0"/>
                <w:sz w:val="24"/>
              </w:rPr>
              <w:t>≤</w:t>
            </w:r>
            <w:r>
              <w:rPr>
                <w:rFonts w:hint="eastAsia" w:ascii="Times New Roman" w:hAnsi="Times New Roman" w:cs="宋体"/>
                <w:color w:val="FF0000"/>
                <w:kern w:val="0"/>
                <w:sz w:val="24"/>
              </w:rPr>
              <w:t>2</w:t>
            </w:r>
            <w:r>
              <w:rPr>
                <w:rFonts w:ascii="Times New Roman" w:hAnsi="Times New Roman" w:cs="宋体"/>
                <w:color w:val="FF0000"/>
                <w:kern w:val="0"/>
                <w:sz w:val="24"/>
              </w:rPr>
              <w:t>mg/L</w:t>
            </w:r>
            <w:r>
              <w:rPr>
                <w:rFonts w:hint="eastAsia" w:ascii="Times New Roman" w:hAnsi="Times New Roman" w:cs="宋体"/>
                <w:color w:val="FF0000"/>
                <w:kern w:val="0"/>
                <w:sz w:val="24"/>
                <w:lang w:val="en-US" w:eastAsia="zh-CN"/>
              </w:rPr>
              <w:t>核算，</w:t>
            </w:r>
            <w:r>
              <w:rPr>
                <w:rFonts w:hint="eastAsia" w:ascii="Times New Roman" w:hAnsi="Times New Roman" w:cs="宋体"/>
                <w:color w:val="FF0000"/>
                <w:kern w:val="0"/>
                <w:sz w:val="24"/>
              </w:rPr>
              <w:t>年排化学需氧量</w:t>
            </w:r>
            <w:r>
              <w:rPr>
                <w:rFonts w:ascii="Times New Roman" w:hAnsi="Times New Roman" w:cs="宋体"/>
                <w:color w:val="FF0000"/>
                <w:kern w:val="0"/>
                <w:sz w:val="24"/>
              </w:rPr>
              <w:t>≤</w:t>
            </w:r>
            <w:r>
              <w:rPr>
                <w:rFonts w:hint="eastAsia" w:ascii="Times New Roman" w:hAnsi="Times New Roman" w:cs="宋体"/>
                <w:color w:val="FF0000"/>
                <w:kern w:val="0"/>
                <w:sz w:val="24"/>
              </w:rPr>
              <w:t>2.965</w:t>
            </w:r>
            <w:r>
              <w:rPr>
                <w:rFonts w:ascii="Times New Roman" w:hAnsi="Times New Roman" w:cs="宋体"/>
                <w:color w:val="FF0000"/>
                <w:kern w:val="0"/>
                <w:sz w:val="24"/>
              </w:rPr>
              <w:t>t/a</w:t>
            </w:r>
            <w:r>
              <w:rPr>
                <w:rFonts w:hint="eastAsia" w:ascii="Times New Roman" w:hAnsi="Times New Roman" w:cs="宋体"/>
                <w:color w:val="FF0000"/>
                <w:kern w:val="0"/>
                <w:sz w:val="24"/>
              </w:rPr>
              <w:t>，氨氮</w:t>
            </w:r>
            <w:r>
              <w:rPr>
                <w:rFonts w:ascii="Times New Roman" w:hAnsi="Times New Roman" w:cs="宋体"/>
                <w:color w:val="FF0000"/>
                <w:kern w:val="0"/>
                <w:sz w:val="24"/>
              </w:rPr>
              <w:t>≤</w:t>
            </w:r>
            <w:r>
              <w:rPr>
                <w:rFonts w:hint="eastAsia" w:ascii="Times New Roman" w:hAnsi="Times New Roman" w:cs="宋体"/>
                <w:color w:val="FF0000"/>
                <w:kern w:val="0"/>
                <w:sz w:val="24"/>
              </w:rPr>
              <w:t>0.148</w:t>
            </w:r>
            <w:r>
              <w:rPr>
                <w:rFonts w:ascii="Times New Roman" w:hAnsi="Times New Roman" w:cs="宋体"/>
                <w:color w:val="FF0000"/>
                <w:kern w:val="0"/>
                <w:sz w:val="24"/>
              </w:rPr>
              <w:t>t/a</w:t>
            </w:r>
            <w:r>
              <w:rPr>
                <w:rFonts w:hint="eastAsia" w:ascii="Times New Roman" w:hAnsi="Times New Roman" w:cs="宋体"/>
                <w:color w:val="000000" w:themeColor="text1"/>
                <w:kern w:val="0"/>
                <w:sz w:val="24"/>
              </w:rPr>
              <w:t>）。</w:t>
            </w:r>
          </w:p>
          <w:p>
            <w:pPr>
              <w:adjustRightInd w:val="0"/>
              <w:snapToGrid w:val="0"/>
              <w:spacing w:line="360" w:lineRule="auto"/>
              <w:ind w:firstLine="482" w:firstLineChars="200"/>
              <w:rPr>
                <w:rFonts w:ascii="Times New Roman" w:hAnsi="Times New Roman" w:cs="宋体"/>
                <w:b/>
                <w:bCs/>
                <w:color w:val="000000" w:themeColor="text1"/>
                <w:kern w:val="0"/>
                <w:sz w:val="24"/>
              </w:rPr>
            </w:pPr>
            <w:bookmarkStart w:id="31" w:name="_Toc12959"/>
            <w:r>
              <w:rPr>
                <w:rFonts w:ascii="Times New Roman" w:hAnsi="Times New Roman" w:cs="宋体"/>
                <w:b/>
                <w:bCs/>
                <w:color w:val="000000" w:themeColor="text1"/>
                <w:kern w:val="0"/>
                <w:sz w:val="24"/>
              </w:rPr>
              <w:t>7.2.5</w:t>
            </w:r>
            <w:r>
              <w:rPr>
                <w:rFonts w:hint="eastAsia" w:ascii="Times New Roman" w:hAnsi="Times New Roman" w:cs="宋体"/>
                <w:b/>
                <w:bCs/>
                <w:color w:val="000000" w:themeColor="text1"/>
                <w:kern w:val="0"/>
                <w:sz w:val="24"/>
              </w:rPr>
              <w:t>工程建设对环境的影响</w:t>
            </w:r>
            <w:bookmarkEnd w:id="31"/>
          </w:p>
          <w:p>
            <w:pPr>
              <w:adjustRightInd w:val="0"/>
              <w:snapToGrid w:val="0"/>
              <w:spacing w:line="360" w:lineRule="auto"/>
              <w:ind w:firstLine="480" w:firstLineChars="200"/>
              <w:rPr>
                <w:rFonts w:ascii="Times New Roman" w:hAnsi="Times New Roman" w:cs="宋体"/>
                <w:b/>
                <w:bCs/>
                <w:color w:val="000000" w:themeColor="text1"/>
                <w:kern w:val="0"/>
                <w:sz w:val="24"/>
              </w:rPr>
            </w:pPr>
            <w:r>
              <w:rPr>
                <w:rFonts w:hint="eastAsia" w:ascii="Times New Roman" w:hAnsi="Times New Roman" w:cs="宋体"/>
                <w:bCs/>
                <w:color w:val="000000" w:themeColor="text1"/>
                <w:kern w:val="0"/>
                <w:sz w:val="24"/>
              </w:rPr>
              <w:t>余杭区星桥九年一贯制学校项目</w:t>
            </w:r>
            <w:r>
              <w:rPr>
                <w:rFonts w:hint="eastAsia" w:ascii="Times New Roman" w:hAnsi="Times New Roman" w:cs="宋体"/>
                <w:color w:val="000000" w:themeColor="text1"/>
                <w:kern w:val="0"/>
                <w:sz w:val="24"/>
              </w:rPr>
              <w:t>符合当地总体规划，符合国家的产业政策，基本符合总量控制和达标排放的原则，其营运不会改变所在地的环境质量水平和环境功能，当地环境质量仍能维持现状。在项目建设过程中有效落实各项污染防治措施的基础上，并充分考虑环评提出的要求后，从环境保护角度分析，本项目的建设是可行的。</w:t>
            </w:r>
          </w:p>
        </w:tc>
      </w:tr>
    </w:tbl>
    <w:p>
      <w:pPr>
        <w:pStyle w:val="3"/>
        <w:adjustRightInd w:val="0"/>
        <w:snapToGrid w:val="0"/>
        <w:rPr>
          <w:rFonts w:ascii="Arial" w:hAnsi="Arial" w:cs="Arial"/>
        </w:rPr>
        <w:sectPr>
          <w:pgSz w:w="11906" w:h="16838"/>
          <w:pgMar w:top="1440" w:right="1800" w:bottom="1440" w:left="1800" w:header="851" w:footer="992" w:gutter="0"/>
          <w:cols w:space="425" w:num="1"/>
          <w:docGrid w:type="lines" w:linePitch="312" w:charSpace="0"/>
        </w:sectPr>
      </w:pPr>
    </w:p>
    <w:p>
      <w:pPr>
        <w:pStyle w:val="3"/>
        <w:adjustRightInd w:val="0"/>
        <w:snapToGrid w:val="0"/>
        <w:rPr>
          <w:rFonts w:ascii="Arial" w:hAnsi="Arial" w:cs="Arial"/>
        </w:rPr>
      </w:pPr>
      <w:r>
        <w:rPr>
          <w:rFonts w:hint="eastAsia" w:ascii="Arial" w:hAnsi="Arial" w:cs="Arial"/>
        </w:rPr>
        <w:t>表八验收监测结论</w:t>
      </w:r>
      <w:bookmarkEnd w:id="29"/>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3" w:hRule="atLeast"/>
          <w:jc w:val="center"/>
        </w:trPr>
        <w:tc>
          <w:tcPr>
            <w:tcW w:w="5000" w:type="pct"/>
            <w:tcBorders>
              <w:top w:val="single" w:color="auto" w:sz="4" w:space="0"/>
              <w:left w:val="single" w:color="auto" w:sz="4" w:space="0"/>
              <w:bottom w:val="single" w:color="auto" w:sz="4" w:space="0"/>
              <w:right w:val="single" w:color="auto" w:sz="4" w:space="0"/>
            </w:tcBorders>
          </w:tcPr>
          <w:p>
            <w:pPr>
              <w:kinsoku w:val="0"/>
              <w:overflowPunct w:val="0"/>
              <w:autoSpaceDE w:val="0"/>
              <w:autoSpaceDN w:val="0"/>
              <w:spacing w:line="360" w:lineRule="auto"/>
              <w:ind w:firstLine="482" w:firstLineChars="200"/>
              <w:rPr>
                <w:rFonts w:ascii="Times New Roman" w:hAnsi="Times New Roman"/>
                <w:b/>
                <w:bCs/>
                <w:sz w:val="24"/>
              </w:rPr>
            </w:pPr>
            <w:r>
              <w:rPr>
                <w:rFonts w:ascii="Times New Roman" w:hAnsi="Times New Roman"/>
                <w:b/>
                <w:bCs/>
                <w:sz w:val="24"/>
              </w:rPr>
              <w:t>8.1</w:t>
            </w:r>
            <w:r>
              <w:rPr>
                <w:rFonts w:ascii="Times New Roman" w:hAnsi="Arial"/>
                <w:b/>
                <w:bCs/>
                <w:sz w:val="24"/>
              </w:rPr>
              <w:t>环保设施调试运行效果</w:t>
            </w:r>
          </w:p>
          <w:p>
            <w:pPr>
              <w:kinsoku w:val="0"/>
              <w:overflowPunct w:val="0"/>
              <w:autoSpaceDE w:val="0"/>
              <w:autoSpaceDN w:val="0"/>
              <w:spacing w:line="360" w:lineRule="auto"/>
              <w:ind w:firstLine="480" w:firstLineChars="200"/>
              <w:rPr>
                <w:rFonts w:ascii="Times New Roman" w:hAnsi="Times New Roman"/>
                <w:sz w:val="24"/>
              </w:rPr>
            </w:pPr>
            <w:r>
              <w:rPr>
                <w:rFonts w:ascii="Times New Roman" w:hAnsi="Arial"/>
                <w:sz w:val="24"/>
              </w:rPr>
              <w:t>验收监测期间，</w:t>
            </w:r>
            <w:r>
              <w:rPr>
                <w:rFonts w:hint="eastAsia" w:ascii="Times New Roman" w:hAnsi="Arial"/>
                <w:sz w:val="24"/>
              </w:rPr>
              <w:t>杭州市临平区星华实验学校</w:t>
            </w:r>
            <w:r>
              <w:rPr>
                <w:rFonts w:ascii="Times New Roman" w:hAnsi="Arial"/>
                <w:sz w:val="24"/>
              </w:rPr>
              <w:t>正常运营、环境保护设施运行正常，根据杭州中环检测有限公司出具的检测报告，监测结果表明：</w:t>
            </w:r>
          </w:p>
          <w:p>
            <w:pPr>
              <w:kinsoku w:val="0"/>
              <w:overflowPunct w:val="0"/>
              <w:autoSpaceDE w:val="0"/>
              <w:autoSpaceDN w:val="0"/>
              <w:spacing w:line="360" w:lineRule="auto"/>
              <w:ind w:firstLine="482" w:firstLineChars="200"/>
              <w:rPr>
                <w:rFonts w:ascii="Times New Roman" w:hAnsi="Times New Roman"/>
                <w:b/>
                <w:bCs/>
                <w:sz w:val="24"/>
              </w:rPr>
            </w:pPr>
            <w:r>
              <w:rPr>
                <w:rFonts w:ascii="Times New Roman" w:hAnsi="Times New Roman"/>
                <w:b/>
                <w:bCs/>
                <w:sz w:val="24"/>
              </w:rPr>
              <w:t>8.1.1</w:t>
            </w:r>
            <w:r>
              <w:rPr>
                <w:rFonts w:ascii="Times New Roman" w:hAnsi="Arial"/>
                <w:b/>
                <w:bCs/>
                <w:sz w:val="24"/>
              </w:rPr>
              <w:t>废水</w:t>
            </w:r>
          </w:p>
          <w:p>
            <w:pPr>
              <w:kinsoku w:val="0"/>
              <w:overflowPunct w:val="0"/>
              <w:autoSpaceDE w:val="0"/>
              <w:autoSpaceDN w:val="0"/>
              <w:spacing w:line="360" w:lineRule="auto"/>
              <w:ind w:firstLine="480" w:firstLineChars="200"/>
              <w:rPr>
                <w:rFonts w:ascii="Times New Roman" w:hAnsi="Times New Roman"/>
                <w:sz w:val="24"/>
              </w:rPr>
            </w:pPr>
            <w:r>
              <w:rPr>
                <w:rFonts w:ascii="Times New Roman" w:hAnsi="Arial"/>
                <w:sz w:val="24"/>
              </w:rPr>
              <w:t>项目运营期废水主要为</w:t>
            </w:r>
            <w:r>
              <w:rPr>
                <w:rFonts w:hint="eastAsia" w:ascii="Times New Roman" w:hAnsi="Times New Roman" w:cs="Arial"/>
                <w:color w:val="000000" w:themeColor="text1"/>
                <w:sz w:val="24"/>
              </w:rPr>
              <w:t>生活污水、实验室废水、食堂厨房含油废水、游泳池废水。项目食堂厨房含油废水经隔油除渣等预处理、冲厕废水经化粪池预处理、实验室废水经中和池处理后纳入城市污水管网；游泳池废水平均每个月排放一次，废水需先经过滤除去毛发等杂质，再沉淀去除SS后，与经化粪池预处理后的其它生活污水一道接入污水管网</w:t>
            </w:r>
            <w:r>
              <w:rPr>
                <w:rFonts w:ascii="Times New Roman" w:hAnsi="Arial"/>
                <w:sz w:val="24"/>
              </w:rPr>
              <w:t>。根据监测采样现场情况，本项目</w:t>
            </w:r>
            <w:r>
              <w:rPr>
                <w:rFonts w:hint="eastAsia" w:ascii="Times New Roman" w:hAnsi="Arial"/>
                <w:sz w:val="24"/>
              </w:rPr>
              <w:t>废水经</w:t>
            </w:r>
            <w:r>
              <w:rPr>
                <w:rFonts w:ascii="Times New Roman" w:hAnsi="Arial"/>
                <w:sz w:val="24"/>
              </w:rPr>
              <w:t>处理后能满足纳管标准。</w:t>
            </w:r>
          </w:p>
          <w:p>
            <w:pPr>
              <w:kinsoku w:val="0"/>
              <w:overflowPunct w:val="0"/>
              <w:autoSpaceDE w:val="0"/>
              <w:autoSpaceDN w:val="0"/>
              <w:spacing w:line="360" w:lineRule="auto"/>
              <w:ind w:firstLine="482" w:firstLineChars="200"/>
              <w:rPr>
                <w:rFonts w:ascii="Times New Roman" w:hAnsi="Times New Roman"/>
                <w:b/>
                <w:bCs/>
                <w:sz w:val="24"/>
              </w:rPr>
            </w:pPr>
            <w:r>
              <w:rPr>
                <w:rFonts w:ascii="Times New Roman" w:hAnsi="Times New Roman"/>
                <w:b/>
                <w:bCs/>
                <w:sz w:val="24"/>
              </w:rPr>
              <w:t>8.1.2</w:t>
            </w:r>
            <w:r>
              <w:rPr>
                <w:rFonts w:ascii="Times New Roman" w:hAnsi="Arial"/>
                <w:b/>
                <w:bCs/>
                <w:sz w:val="24"/>
              </w:rPr>
              <w:t>废气</w:t>
            </w:r>
          </w:p>
          <w:p>
            <w:pPr>
              <w:kinsoku w:val="0"/>
              <w:overflowPunct w:val="0"/>
              <w:autoSpaceDE w:val="0"/>
              <w:autoSpaceDN w:val="0"/>
              <w:spacing w:line="360" w:lineRule="auto"/>
              <w:ind w:firstLine="480" w:firstLineChars="200"/>
              <w:rPr>
                <w:rFonts w:ascii="Times New Roman" w:hAnsi="Times New Roman"/>
                <w:sz w:val="24"/>
              </w:rPr>
            </w:pPr>
            <w:r>
              <w:rPr>
                <w:rFonts w:ascii="Times New Roman" w:hAnsi="Arial"/>
                <w:sz w:val="24"/>
              </w:rPr>
              <w:t>验收监测期间（</w:t>
            </w:r>
            <w:r>
              <w:rPr>
                <w:rFonts w:ascii="Times New Roman" w:hAnsi="Times New Roman"/>
                <w:sz w:val="24"/>
              </w:rPr>
              <w:t>202</w:t>
            </w:r>
            <w:r>
              <w:rPr>
                <w:rFonts w:hint="eastAsia" w:ascii="Times New Roman" w:hAnsi="Times New Roman"/>
                <w:sz w:val="24"/>
              </w:rPr>
              <w:t>4</w:t>
            </w:r>
            <w:r>
              <w:rPr>
                <w:rFonts w:ascii="Times New Roman" w:hAnsi="Arial"/>
                <w:sz w:val="24"/>
              </w:rPr>
              <w:t>年</w:t>
            </w:r>
            <w:r>
              <w:rPr>
                <w:rFonts w:hint="eastAsia" w:ascii="Times New Roman" w:hAnsi="Times New Roman"/>
                <w:sz w:val="24"/>
              </w:rPr>
              <w:t>5</w:t>
            </w:r>
            <w:r>
              <w:rPr>
                <w:rFonts w:ascii="Times New Roman" w:hAnsi="Arial"/>
                <w:sz w:val="24"/>
              </w:rPr>
              <w:t>月</w:t>
            </w:r>
            <w:r>
              <w:rPr>
                <w:rFonts w:ascii="Times New Roman" w:hAnsi="Times New Roman"/>
                <w:sz w:val="24"/>
              </w:rPr>
              <w:t>8</w:t>
            </w:r>
            <w:r>
              <w:rPr>
                <w:rFonts w:ascii="Times New Roman" w:hAnsi="Arial"/>
                <w:sz w:val="24"/>
              </w:rPr>
              <w:t>日</w:t>
            </w:r>
            <w:r>
              <w:rPr>
                <w:rFonts w:ascii="Times New Roman" w:hAnsi="Times New Roman"/>
                <w:sz w:val="24"/>
              </w:rPr>
              <w:t>~202</w:t>
            </w:r>
            <w:r>
              <w:rPr>
                <w:rFonts w:hint="eastAsia" w:ascii="Times New Roman" w:hAnsi="Times New Roman"/>
                <w:sz w:val="24"/>
              </w:rPr>
              <w:t>4</w:t>
            </w:r>
            <w:r>
              <w:rPr>
                <w:rFonts w:ascii="Times New Roman" w:hAnsi="Arial"/>
                <w:sz w:val="24"/>
              </w:rPr>
              <w:t>年</w:t>
            </w:r>
            <w:r>
              <w:rPr>
                <w:rFonts w:hint="eastAsia" w:ascii="Times New Roman" w:hAnsi="Times New Roman"/>
                <w:sz w:val="24"/>
              </w:rPr>
              <w:t>5</w:t>
            </w:r>
            <w:r>
              <w:rPr>
                <w:rFonts w:ascii="Times New Roman" w:hAnsi="Arial"/>
                <w:sz w:val="24"/>
              </w:rPr>
              <w:t>月</w:t>
            </w:r>
            <w:r>
              <w:rPr>
                <w:rFonts w:ascii="Times New Roman" w:hAnsi="Times New Roman"/>
                <w:sz w:val="24"/>
              </w:rPr>
              <w:t>9</w:t>
            </w:r>
            <w:r>
              <w:rPr>
                <w:rFonts w:ascii="Times New Roman" w:hAnsi="Arial"/>
                <w:sz w:val="24"/>
              </w:rPr>
              <w:t>日），由监测结果可知，</w:t>
            </w:r>
            <w:r>
              <w:rPr>
                <w:rFonts w:hint="eastAsia" w:ascii="Times New Roman" w:hAnsi="Arial"/>
                <w:sz w:val="24"/>
              </w:rPr>
              <w:t>杭州市临平区星华实验学校</w:t>
            </w:r>
            <w:r>
              <w:rPr>
                <w:rFonts w:ascii="Times New Roman" w:hAnsi="Arial"/>
                <w:sz w:val="24"/>
              </w:rPr>
              <w:t>锅炉烟囱颗粒物、二氧化硫、氮氧化物及烟气黑度的排放浓度排放符合《锅炉大气污染物排放标准》（</w:t>
            </w:r>
            <w:r>
              <w:rPr>
                <w:rFonts w:ascii="Times New Roman" w:hAnsi="Times New Roman"/>
                <w:sz w:val="24"/>
              </w:rPr>
              <w:t>GB 13271-2014</w:t>
            </w:r>
            <w:r>
              <w:rPr>
                <w:rFonts w:ascii="Times New Roman" w:hAnsi="Arial"/>
                <w:sz w:val="24"/>
              </w:rPr>
              <w:t>）表</w:t>
            </w:r>
            <w:r>
              <w:rPr>
                <w:rFonts w:ascii="Times New Roman" w:hAnsi="Times New Roman"/>
                <w:sz w:val="24"/>
              </w:rPr>
              <w:t>3</w:t>
            </w:r>
            <w:r>
              <w:rPr>
                <w:rFonts w:ascii="Times New Roman" w:hAnsi="Arial"/>
                <w:sz w:val="24"/>
              </w:rPr>
              <w:t>特别排放限值，餐饮各油烟井油烟排放浓度均低于《饮食业油烟排放标准（试行）》（</w:t>
            </w:r>
            <w:r>
              <w:rPr>
                <w:rFonts w:ascii="Times New Roman" w:hAnsi="Times New Roman"/>
                <w:sz w:val="24"/>
              </w:rPr>
              <w:t>GB 18483-2001</w:t>
            </w:r>
            <w:r>
              <w:rPr>
                <w:rFonts w:ascii="Times New Roman" w:hAnsi="Arial"/>
                <w:sz w:val="24"/>
              </w:rPr>
              <w:t>）规定的最高允许排放浓度要求。</w:t>
            </w:r>
            <w:r>
              <w:rPr>
                <w:rFonts w:hint="eastAsia" w:ascii="Times New Roman" w:hAnsi="Arial"/>
                <w:color w:val="FF0000"/>
                <w:sz w:val="24"/>
                <w:lang w:val="en-US" w:eastAsia="zh-CN"/>
              </w:rPr>
              <w:t>学校场界</w:t>
            </w:r>
            <w:r>
              <w:rPr>
                <w:rFonts w:ascii="Times New Roman" w:hAnsi="Arial"/>
                <w:sz w:val="24"/>
              </w:rPr>
              <w:t>无组织排放废气中非甲烷总烃、氮氧化物浓度均低于《大气污染物综合排放标准》（</w:t>
            </w:r>
            <w:r>
              <w:rPr>
                <w:rFonts w:ascii="Times New Roman" w:hAnsi="Times New Roman"/>
                <w:sz w:val="24"/>
              </w:rPr>
              <w:t>GB 16297-1996</w:t>
            </w:r>
            <w:r>
              <w:rPr>
                <w:rFonts w:ascii="Times New Roman" w:hAnsi="Arial"/>
                <w:sz w:val="24"/>
              </w:rPr>
              <w:t>）中表</w:t>
            </w:r>
            <w:r>
              <w:rPr>
                <w:rFonts w:ascii="Times New Roman" w:hAnsi="Times New Roman"/>
                <w:sz w:val="24"/>
              </w:rPr>
              <w:t>2“</w:t>
            </w:r>
            <w:r>
              <w:rPr>
                <w:rFonts w:ascii="Times New Roman" w:hAnsi="Arial"/>
                <w:sz w:val="24"/>
              </w:rPr>
              <w:t>无组织排放监控浓度限值</w:t>
            </w:r>
            <w:r>
              <w:rPr>
                <w:rFonts w:ascii="Times New Roman" w:hAnsi="Times New Roman"/>
                <w:sz w:val="24"/>
              </w:rPr>
              <w:t>”</w:t>
            </w:r>
            <w:r>
              <w:rPr>
                <w:rFonts w:ascii="Times New Roman" w:hAnsi="Arial"/>
                <w:sz w:val="24"/>
              </w:rPr>
              <w:t>。</w:t>
            </w:r>
          </w:p>
          <w:p>
            <w:pPr>
              <w:kinsoku w:val="0"/>
              <w:overflowPunct w:val="0"/>
              <w:autoSpaceDE w:val="0"/>
              <w:autoSpaceDN w:val="0"/>
              <w:spacing w:line="360" w:lineRule="auto"/>
              <w:ind w:firstLine="482" w:firstLineChars="200"/>
              <w:rPr>
                <w:rFonts w:ascii="Times New Roman" w:hAnsi="Times New Roman"/>
                <w:b/>
                <w:bCs/>
                <w:sz w:val="24"/>
              </w:rPr>
            </w:pPr>
            <w:r>
              <w:rPr>
                <w:rFonts w:ascii="Times New Roman" w:hAnsi="Times New Roman"/>
                <w:b/>
                <w:bCs/>
                <w:sz w:val="24"/>
              </w:rPr>
              <w:t>8.1.3</w:t>
            </w:r>
            <w:r>
              <w:rPr>
                <w:rFonts w:ascii="Times New Roman" w:hAnsi="Arial"/>
                <w:b/>
                <w:bCs/>
                <w:sz w:val="24"/>
              </w:rPr>
              <w:t>噪声</w:t>
            </w:r>
          </w:p>
          <w:p>
            <w:pPr>
              <w:kinsoku w:val="0"/>
              <w:overflowPunct w:val="0"/>
              <w:autoSpaceDE w:val="0"/>
              <w:autoSpaceDN w:val="0"/>
              <w:spacing w:line="360" w:lineRule="auto"/>
              <w:ind w:firstLine="480" w:firstLineChars="200"/>
              <w:rPr>
                <w:rFonts w:ascii="Times New Roman" w:hAnsi="Times New Roman"/>
                <w:sz w:val="24"/>
              </w:rPr>
            </w:pPr>
            <w:r>
              <w:rPr>
                <w:rFonts w:ascii="Times New Roman" w:hAnsi="Arial"/>
                <w:sz w:val="24"/>
              </w:rPr>
              <w:t>由监测结果可知，验收监测期间（</w:t>
            </w:r>
            <w:r>
              <w:rPr>
                <w:rFonts w:ascii="Times New Roman" w:hAnsi="Times New Roman"/>
                <w:sz w:val="24"/>
              </w:rPr>
              <w:t>202</w:t>
            </w:r>
            <w:r>
              <w:rPr>
                <w:rFonts w:hint="eastAsia" w:ascii="Times New Roman" w:hAnsi="Times New Roman"/>
                <w:sz w:val="24"/>
              </w:rPr>
              <w:t>4</w:t>
            </w:r>
            <w:r>
              <w:rPr>
                <w:rFonts w:ascii="Times New Roman" w:hAnsi="Arial"/>
                <w:sz w:val="24"/>
              </w:rPr>
              <w:t>年</w:t>
            </w:r>
            <w:r>
              <w:rPr>
                <w:rFonts w:hint="eastAsia" w:ascii="Times New Roman" w:hAnsi="Times New Roman"/>
                <w:sz w:val="24"/>
              </w:rPr>
              <w:t>5</w:t>
            </w:r>
            <w:r>
              <w:rPr>
                <w:rFonts w:ascii="Times New Roman" w:hAnsi="Arial"/>
                <w:sz w:val="24"/>
              </w:rPr>
              <w:t>月</w:t>
            </w:r>
            <w:r>
              <w:rPr>
                <w:rFonts w:hint="eastAsia" w:ascii="Times New Roman" w:hAnsi="Times New Roman"/>
                <w:sz w:val="24"/>
              </w:rPr>
              <w:t>8</w:t>
            </w:r>
            <w:r>
              <w:rPr>
                <w:rFonts w:ascii="Times New Roman" w:hAnsi="Arial"/>
                <w:sz w:val="24"/>
              </w:rPr>
              <w:t>日</w:t>
            </w:r>
            <w:r>
              <w:rPr>
                <w:rFonts w:ascii="Times New Roman" w:hAnsi="Times New Roman"/>
                <w:sz w:val="24"/>
              </w:rPr>
              <w:t>~202</w:t>
            </w:r>
            <w:r>
              <w:rPr>
                <w:rFonts w:hint="eastAsia" w:ascii="Times New Roman" w:hAnsi="Times New Roman"/>
                <w:sz w:val="24"/>
              </w:rPr>
              <w:t>4</w:t>
            </w:r>
            <w:r>
              <w:rPr>
                <w:rFonts w:ascii="Times New Roman" w:hAnsi="Arial"/>
                <w:sz w:val="24"/>
              </w:rPr>
              <w:t>年</w:t>
            </w:r>
            <w:r>
              <w:rPr>
                <w:rFonts w:hint="eastAsia" w:ascii="Times New Roman" w:hAnsi="Times New Roman"/>
                <w:sz w:val="24"/>
              </w:rPr>
              <w:t>5</w:t>
            </w:r>
            <w:r>
              <w:rPr>
                <w:rFonts w:ascii="Times New Roman" w:hAnsi="Arial"/>
                <w:sz w:val="24"/>
              </w:rPr>
              <w:t>月</w:t>
            </w:r>
            <w:r>
              <w:rPr>
                <w:rFonts w:hint="eastAsia" w:ascii="Times New Roman" w:hAnsi="Times New Roman"/>
                <w:sz w:val="24"/>
              </w:rPr>
              <w:t>9</w:t>
            </w:r>
            <w:r>
              <w:rPr>
                <w:rFonts w:ascii="Times New Roman" w:hAnsi="Arial"/>
                <w:sz w:val="24"/>
              </w:rPr>
              <w:t>日），</w:t>
            </w:r>
            <w:r>
              <w:rPr>
                <w:rFonts w:hint="eastAsia" w:ascii="Times New Roman" w:hAnsi="Arial"/>
                <w:sz w:val="24"/>
              </w:rPr>
              <w:t>杭州市临平区星华实验学校</w:t>
            </w:r>
            <w:r>
              <w:rPr>
                <w:rFonts w:hint="eastAsia" w:ascii="Times New Roman" w:hAnsi="Arial"/>
                <w:sz w:val="24"/>
                <w:lang w:val="en-US" w:eastAsia="zh-CN"/>
              </w:rPr>
              <w:t>场界</w:t>
            </w:r>
            <w:r>
              <w:rPr>
                <w:rFonts w:ascii="Times New Roman" w:hAnsi="Arial"/>
                <w:sz w:val="24"/>
              </w:rPr>
              <w:t>四周监测点噪声均符合《工业企业厂界环境噪声排放标准》（</w:t>
            </w:r>
            <w:r>
              <w:rPr>
                <w:rFonts w:ascii="Times New Roman" w:hAnsi="Times New Roman"/>
                <w:sz w:val="24"/>
              </w:rPr>
              <w:t>GB 12348-2008</w:t>
            </w:r>
            <w:r>
              <w:rPr>
                <w:rFonts w:ascii="Times New Roman" w:hAnsi="Arial"/>
                <w:sz w:val="24"/>
              </w:rPr>
              <w:t>）</w:t>
            </w:r>
            <w:r>
              <w:rPr>
                <w:rFonts w:ascii="Times New Roman" w:hAnsi="Times New Roman"/>
                <w:sz w:val="24"/>
              </w:rPr>
              <w:t>2</w:t>
            </w:r>
            <w:r>
              <w:rPr>
                <w:rFonts w:ascii="Times New Roman" w:hAnsi="Arial"/>
                <w:sz w:val="24"/>
              </w:rPr>
              <w:t>类标准。</w:t>
            </w:r>
            <w:r>
              <w:rPr>
                <w:rFonts w:hint="eastAsia" w:ascii="Times New Roman" w:hAnsi="Arial"/>
                <w:sz w:val="24"/>
              </w:rPr>
              <w:t>声环境保护目标星乐小区二区监测点噪声符合《声环境质量标准》（GB3096-2008）中2类标准要求。</w:t>
            </w:r>
          </w:p>
          <w:p>
            <w:pPr>
              <w:kinsoku w:val="0"/>
              <w:overflowPunct w:val="0"/>
              <w:autoSpaceDE w:val="0"/>
              <w:autoSpaceDN w:val="0"/>
              <w:spacing w:line="360" w:lineRule="auto"/>
              <w:ind w:firstLine="482" w:firstLineChars="200"/>
              <w:rPr>
                <w:rFonts w:ascii="Times New Roman" w:hAnsi="Times New Roman"/>
                <w:b/>
                <w:bCs/>
                <w:sz w:val="24"/>
              </w:rPr>
            </w:pPr>
            <w:r>
              <w:rPr>
                <w:rFonts w:ascii="Times New Roman" w:hAnsi="Times New Roman"/>
                <w:b/>
                <w:bCs/>
                <w:sz w:val="24"/>
              </w:rPr>
              <w:t>8.1.4</w:t>
            </w:r>
            <w:r>
              <w:rPr>
                <w:rFonts w:ascii="Times New Roman" w:hAnsi="Arial"/>
                <w:b/>
                <w:bCs/>
                <w:sz w:val="24"/>
              </w:rPr>
              <w:t>固体废物</w:t>
            </w:r>
          </w:p>
          <w:p>
            <w:pPr>
              <w:kinsoku w:val="0"/>
              <w:overflowPunct w:val="0"/>
              <w:autoSpaceDE w:val="0"/>
              <w:autoSpaceDN w:val="0"/>
              <w:spacing w:line="360" w:lineRule="auto"/>
              <w:ind w:firstLine="480" w:firstLineChars="200"/>
              <w:rPr>
                <w:rFonts w:ascii="Times New Roman" w:hAnsi="Times New Roman"/>
                <w:sz w:val="24"/>
              </w:rPr>
            </w:pPr>
            <w:bookmarkStart w:id="32" w:name="_Hlk123718671"/>
            <w:r>
              <w:rPr>
                <w:rFonts w:ascii="Times New Roman" w:hAnsi="Arial"/>
                <w:sz w:val="24"/>
              </w:rPr>
              <w:t>本项目固废主要为生活垃圾、实验室废物、食堂餐饮固废、隔油池废油。生活垃圾分类收集，委托环卫部门统一及时清运与处置。实验室废物贮存在危险废物贮存间内，委托</w:t>
            </w:r>
            <w:r>
              <w:rPr>
                <w:rFonts w:hint="eastAsia" w:ascii="Times New Roman" w:hAnsi="Arial"/>
                <w:color w:val="FF0000"/>
                <w:kern w:val="0"/>
                <w:sz w:val="24"/>
                <w:lang w:val="en-US" w:eastAsia="zh-CN"/>
              </w:rPr>
              <w:t>杭州立佳环境服务有限公司</w:t>
            </w:r>
            <w:r>
              <w:rPr>
                <w:rFonts w:ascii="Times New Roman" w:hAnsi="Arial"/>
                <w:sz w:val="24"/>
              </w:rPr>
              <w:t>定期处置；食堂餐饮固废中废包装箱、饮料罐等收集后出售综合利用</w:t>
            </w:r>
            <w:r>
              <w:rPr>
                <w:rFonts w:hint="eastAsia" w:ascii="Times New Roman" w:hAnsi="Arial"/>
                <w:sz w:val="24"/>
              </w:rPr>
              <w:t>，</w:t>
            </w:r>
            <w:r>
              <w:rPr>
                <w:rFonts w:ascii="Times New Roman" w:hAnsi="Arial"/>
                <w:sz w:val="24"/>
              </w:rPr>
              <w:t>原料边角料及剩饭剩菜出售给农户做饲料；隔油池废油收集后委托有资质的单位处置。</w:t>
            </w:r>
            <w:bookmarkEnd w:id="32"/>
          </w:p>
          <w:p>
            <w:pPr>
              <w:kinsoku w:val="0"/>
              <w:overflowPunct w:val="0"/>
              <w:autoSpaceDE w:val="0"/>
              <w:autoSpaceDN w:val="0"/>
              <w:spacing w:line="360" w:lineRule="auto"/>
              <w:ind w:firstLine="482" w:firstLineChars="200"/>
              <w:rPr>
                <w:rFonts w:ascii="Times New Roman" w:hAnsi="Times New Roman"/>
                <w:b/>
                <w:bCs/>
                <w:sz w:val="24"/>
              </w:rPr>
            </w:pPr>
            <w:r>
              <w:rPr>
                <w:rFonts w:ascii="Times New Roman" w:hAnsi="Times New Roman"/>
                <w:b/>
                <w:bCs/>
                <w:sz w:val="24"/>
              </w:rPr>
              <w:t>8.2</w:t>
            </w:r>
            <w:r>
              <w:rPr>
                <w:rFonts w:ascii="Times New Roman" w:hAnsi="Arial"/>
                <w:b/>
                <w:bCs/>
                <w:sz w:val="24"/>
              </w:rPr>
              <w:t>工程建设对环境的影响</w:t>
            </w:r>
          </w:p>
          <w:p>
            <w:pPr>
              <w:kinsoku w:val="0"/>
              <w:overflowPunct w:val="0"/>
              <w:autoSpaceDE w:val="0"/>
              <w:autoSpaceDN w:val="0"/>
              <w:spacing w:line="360" w:lineRule="auto"/>
              <w:ind w:firstLine="480" w:firstLineChars="200"/>
              <w:rPr>
                <w:rFonts w:ascii="Times New Roman" w:hAnsi="Times New Roman"/>
                <w:sz w:val="24"/>
              </w:rPr>
            </w:pPr>
            <w:r>
              <w:rPr>
                <w:rFonts w:ascii="Times New Roman" w:hAnsi="Arial"/>
                <w:sz w:val="24"/>
              </w:rPr>
              <w:t>本项目位于</w:t>
            </w:r>
            <w:r>
              <w:rPr>
                <w:rFonts w:hint="eastAsia" w:ascii="Times New Roman" w:hAnsi="Arial"/>
                <w:sz w:val="24"/>
              </w:rPr>
              <w:t>浙江省杭州市临平区临丁路66号</w:t>
            </w:r>
            <w:r>
              <w:rPr>
                <w:rFonts w:ascii="Times New Roman" w:hAnsi="Arial"/>
                <w:sz w:val="24"/>
              </w:rPr>
              <w:t>，根据现场勘查，距离本项目最近的敏感点是位于项目</w:t>
            </w:r>
            <w:r>
              <w:rPr>
                <w:rFonts w:hint="eastAsia" w:ascii="Times New Roman" w:hAnsi="Arial"/>
                <w:sz w:val="24"/>
              </w:rPr>
              <w:t>东北</w:t>
            </w:r>
            <w:r>
              <w:rPr>
                <w:rFonts w:ascii="Times New Roman" w:hAnsi="Arial"/>
                <w:sz w:val="24"/>
              </w:rPr>
              <w:t>侧约</w:t>
            </w:r>
            <w:r>
              <w:rPr>
                <w:rFonts w:hint="eastAsia" w:ascii="Times New Roman" w:hAnsi="Times New Roman"/>
                <w:sz w:val="24"/>
              </w:rPr>
              <w:t>5</w:t>
            </w:r>
            <w:r>
              <w:rPr>
                <w:rFonts w:ascii="Times New Roman" w:hAnsi="Times New Roman"/>
                <w:sz w:val="24"/>
              </w:rPr>
              <w:t>m</w:t>
            </w:r>
            <w:r>
              <w:rPr>
                <w:rFonts w:ascii="Times New Roman" w:hAnsi="Arial"/>
                <w:sz w:val="24"/>
              </w:rPr>
              <w:t>的</w:t>
            </w:r>
            <w:r>
              <w:rPr>
                <w:rFonts w:hint="eastAsia" w:ascii="Times New Roman" w:hAnsi="Arial"/>
                <w:sz w:val="24"/>
              </w:rPr>
              <w:t>星乐小区二区</w:t>
            </w:r>
            <w:r>
              <w:rPr>
                <w:rFonts w:ascii="Times New Roman" w:hAnsi="Arial"/>
                <w:sz w:val="24"/>
              </w:rPr>
              <w:t>。由监测结果可知，本项目污染物均达标排放，则本项目营运期间对周边环境基本无影响。</w:t>
            </w:r>
          </w:p>
          <w:p>
            <w:pPr>
              <w:kinsoku w:val="0"/>
              <w:overflowPunct w:val="0"/>
              <w:autoSpaceDE w:val="0"/>
              <w:autoSpaceDN w:val="0"/>
              <w:spacing w:line="360" w:lineRule="auto"/>
              <w:ind w:firstLine="482" w:firstLineChars="200"/>
              <w:rPr>
                <w:rFonts w:ascii="Times New Roman" w:hAnsi="Times New Roman"/>
                <w:b/>
                <w:bCs/>
                <w:sz w:val="24"/>
              </w:rPr>
            </w:pPr>
            <w:r>
              <w:rPr>
                <w:rFonts w:ascii="Times New Roman" w:hAnsi="Times New Roman"/>
                <w:b/>
                <w:bCs/>
                <w:sz w:val="24"/>
              </w:rPr>
              <w:t>8.3</w:t>
            </w:r>
            <w:r>
              <w:rPr>
                <w:rFonts w:ascii="Times New Roman" w:hAnsi="Arial"/>
                <w:b/>
                <w:bCs/>
                <w:sz w:val="24"/>
              </w:rPr>
              <w:t>总结论</w:t>
            </w:r>
          </w:p>
          <w:p>
            <w:pPr>
              <w:pStyle w:val="13"/>
              <w:kinsoku w:val="0"/>
              <w:overflowPunct w:val="0"/>
              <w:autoSpaceDE w:val="0"/>
              <w:autoSpaceDN w:val="0"/>
              <w:spacing w:after="0" w:line="360" w:lineRule="auto"/>
              <w:ind w:firstLine="480" w:firstLineChars="200"/>
              <w:rPr>
                <w:rFonts w:ascii="Arial" w:hAnsi="Arial" w:cs="Arial"/>
                <w:szCs w:val="21"/>
              </w:rPr>
            </w:pPr>
            <w:r>
              <w:rPr>
                <w:rFonts w:hint="eastAsia" w:ascii="Times New Roman" w:hAnsi="Arial"/>
                <w:sz w:val="24"/>
              </w:rPr>
              <w:t>余杭区星桥九年一贯制学校项目</w:t>
            </w:r>
            <w:r>
              <w:rPr>
                <w:rFonts w:ascii="Times New Roman" w:hAnsi="Arial"/>
                <w:sz w:val="24"/>
              </w:rPr>
              <w:t>在建设中基本执行环保</w:t>
            </w:r>
            <w:r>
              <w:rPr>
                <w:rFonts w:ascii="Times New Roman" w:hAnsi="Times New Roman"/>
                <w:sz w:val="24"/>
              </w:rPr>
              <w:t>“</w:t>
            </w:r>
            <w:r>
              <w:rPr>
                <w:rFonts w:ascii="Times New Roman" w:hAnsi="Arial"/>
                <w:sz w:val="24"/>
              </w:rPr>
              <w:t>三同时</w:t>
            </w:r>
            <w:r>
              <w:rPr>
                <w:rFonts w:ascii="Times New Roman" w:hAnsi="Times New Roman"/>
                <w:sz w:val="24"/>
              </w:rPr>
              <w:t>”</w:t>
            </w:r>
            <w:r>
              <w:rPr>
                <w:rFonts w:ascii="Times New Roman" w:hAnsi="Arial"/>
                <w:sz w:val="24"/>
              </w:rPr>
              <w:t>规定，验收资料齐全，环境保护措施已落实，监测指标达到排放标准及相关环境标准要求，该项目符合环保设施竣工验收要求。</w:t>
            </w:r>
          </w:p>
        </w:tc>
      </w:tr>
    </w:tbl>
    <w:p>
      <w:pPr>
        <w:sectPr>
          <w:pgSz w:w="11906" w:h="16838"/>
          <w:pgMar w:top="1440" w:right="1800" w:bottom="1440" w:left="1800" w:header="851" w:footer="992" w:gutter="0"/>
          <w:cols w:space="425" w:num="1"/>
          <w:docGrid w:type="lines" w:linePitch="312" w:charSpace="0"/>
        </w:sectPr>
      </w:pPr>
    </w:p>
    <w:p>
      <w:pPr>
        <w:pStyle w:val="3"/>
        <w:rPr>
          <w:rFonts w:ascii="Arial" w:hAnsi="Arial" w:cs="Arial"/>
        </w:rPr>
      </w:pPr>
      <w:bookmarkStart w:id="33" w:name="_Toc1346"/>
      <w:bookmarkStart w:id="34" w:name="_Toc23703"/>
      <w:bookmarkStart w:id="35" w:name="_Toc24783"/>
      <w:r>
        <w:rPr>
          <w:rFonts w:hint="eastAsia" w:ascii="Arial" w:hAnsi="Arial" w:cs="Arial"/>
        </w:rPr>
        <w:t>附图</w:t>
      </w:r>
      <w:bookmarkEnd w:id="33"/>
      <w:bookmarkEnd w:id="34"/>
      <w:bookmarkEnd w:id="35"/>
    </w:p>
    <w:p>
      <w:pPr>
        <w:pStyle w:val="4"/>
      </w:pPr>
      <w:bookmarkStart w:id="36" w:name="_Toc13103"/>
      <w:bookmarkStart w:id="37" w:name="_Toc17969"/>
      <w:bookmarkStart w:id="38" w:name="_Toc16499"/>
      <w:r>
        <w:rPr>
          <w:rFonts w:hint="eastAsia" w:ascii="Arial" w:hAnsi="Arial" w:cs="Arial"/>
        </w:rPr>
        <w:t>附图</w:t>
      </w:r>
      <w:r>
        <w:rPr>
          <w:rFonts w:ascii="Arial" w:hAnsi="Arial" w:cs="Arial"/>
        </w:rPr>
        <w:t>1</w:t>
      </w:r>
      <w:r>
        <w:rPr>
          <w:rFonts w:hint="eastAsia" w:ascii="Arial" w:hAnsi="Arial" w:cs="Arial"/>
        </w:rPr>
        <w:t>项目地理位置</w:t>
      </w:r>
      <w:bookmarkEnd w:id="36"/>
      <w:bookmarkEnd w:id="37"/>
      <w:bookmarkEnd w:id="38"/>
      <w:r>
        <w:rPr>
          <w:rFonts w:hint="eastAsia"/>
        </w:rPr>
        <w:t>图</w:t>
      </w:r>
    </w:p>
    <w:p>
      <w:pPr>
        <w:jc w:val="center"/>
      </w:pPr>
      <w:r>
        <w:drawing>
          <wp:inline distT="0" distB="0" distL="0" distR="0">
            <wp:extent cx="6614160" cy="4568190"/>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5"/>
                    <a:srcRect/>
                    <a:stretch>
                      <a:fillRect/>
                    </a:stretch>
                  </pic:blipFill>
                  <pic:spPr>
                    <a:xfrm>
                      <a:off x="0" y="0"/>
                      <a:ext cx="6618757" cy="4571117"/>
                    </a:xfrm>
                    <a:prstGeom prst="rect">
                      <a:avLst/>
                    </a:prstGeom>
                    <a:noFill/>
                    <a:ln w="9525">
                      <a:noFill/>
                      <a:miter lim="800000"/>
                      <a:headEnd/>
                      <a:tailEnd/>
                    </a:ln>
                  </pic:spPr>
                </pic:pic>
              </a:graphicData>
            </a:graphic>
          </wp:inline>
        </w:drawing>
      </w:r>
    </w:p>
    <w:p>
      <w:pPr>
        <w:pStyle w:val="4"/>
        <w:rPr>
          <w:rFonts w:ascii="Arial" w:hAnsi="Arial" w:cs="Arial"/>
        </w:rPr>
      </w:pPr>
      <w:bookmarkStart w:id="39" w:name="_Toc1486"/>
      <w:bookmarkStart w:id="40" w:name="_Toc10506"/>
      <w:bookmarkStart w:id="41" w:name="_Toc32208"/>
      <w:r>
        <w:rPr>
          <w:rFonts w:hint="eastAsia" w:ascii="Arial" w:hAnsi="Arial" w:cs="Arial"/>
        </w:rPr>
        <w:t>附图</w:t>
      </w:r>
      <w:r>
        <w:rPr>
          <w:rFonts w:ascii="Arial" w:hAnsi="Arial" w:cs="Arial"/>
        </w:rPr>
        <w:t>2</w:t>
      </w:r>
      <w:r>
        <w:rPr>
          <w:rFonts w:hint="eastAsia" w:ascii="Arial" w:hAnsi="Arial" w:cs="Arial"/>
        </w:rPr>
        <w:t>项目周边情况分布图</w:t>
      </w:r>
      <w:bookmarkEnd w:id="39"/>
      <w:bookmarkEnd w:id="40"/>
      <w:bookmarkEnd w:id="41"/>
    </w:p>
    <w:p>
      <w:pPr>
        <w:jc w:val="center"/>
      </w:pPr>
      <w:r>
        <w:drawing>
          <wp:inline distT="0" distB="0" distL="0" distR="0">
            <wp:extent cx="6122670" cy="479615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srcRect/>
                    <a:stretch>
                      <a:fillRect/>
                    </a:stretch>
                  </pic:blipFill>
                  <pic:spPr>
                    <a:xfrm>
                      <a:off x="0" y="0"/>
                      <a:ext cx="6124964" cy="4797859"/>
                    </a:xfrm>
                    <a:prstGeom prst="rect">
                      <a:avLst/>
                    </a:prstGeom>
                    <a:noFill/>
                    <a:ln w="9525">
                      <a:noFill/>
                      <a:miter lim="800000"/>
                      <a:headEnd/>
                      <a:tailEnd/>
                    </a:ln>
                  </pic:spPr>
                </pic:pic>
              </a:graphicData>
            </a:graphic>
          </wp:inline>
        </w:drawing>
      </w:r>
    </w:p>
    <w:p>
      <w:pPr>
        <w:pStyle w:val="4"/>
        <w:rPr>
          <w:rFonts w:ascii="Arial" w:hAnsi="Arial" w:cs="Arial"/>
        </w:rPr>
      </w:pPr>
      <w:r>
        <w:rPr>
          <w:rFonts w:hint="eastAsia" w:ascii="Arial" w:hAnsi="Arial" w:cs="Arial"/>
        </w:rPr>
        <w:t>附图</w:t>
      </w:r>
      <w:r>
        <w:rPr>
          <w:rFonts w:ascii="Arial" w:hAnsi="Arial" w:cs="Arial"/>
        </w:rPr>
        <w:t>3</w:t>
      </w:r>
      <w:r>
        <w:rPr>
          <w:rFonts w:hint="eastAsia" w:ascii="Arial" w:hAnsi="Arial" w:cs="Arial"/>
        </w:rPr>
        <w:t>项目平面布置图</w:t>
      </w:r>
    </w:p>
    <w:p>
      <w:pPr>
        <w:jc w:val="center"/>
      </w:pPr>
      <w:r>
        <w:drawing>
          <wp:inline distT="0" distB="0" distL="0" distR="0">
            <wp:extent cx="6812915" cy="4785360"/>
            <wp:effectExtent l="19050" t="0" r="6829"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a:srcRect/>
                    <a:stretch>
                      <a:fillRect/>
                    </a:stretch>
                  </pic:blipFill>
                  <pic:spPr>
                    <a:xfrm>
                      <a:off x="0" y="0"/>
                      <a:ext cx="6811554" cy="4784392"/>
                    </a:xfrm>
                    <a:prstGeom prst="rect">
                      <a:avLst/>
                    </a:prstGeom>
                    <a:noFill/>
                    <a:ln w="9525">
                      <a:noFill/>
                      <a:miter lim="800000"/>
                      <a:headEnd/>
                      <a:tailEnd/>
                    </a:ln>
                  </pic:spPr>
                </pic:pic>
              </a:graphicData>
            </a:graphic>
          </wp:inline>
        </w:drawing>
      </w:r>
    </w:p>
    <w:p>
      <w:pPr>
        <w:pStyle w:val="4"/>
        <w:rPr>
          <w:rFonts w:ascii="Arial" w:hAnsi="Arial" w:cs="Arial"/>
        </w:rPr>
      </w:pPr>
      <w:bookmarkStart w:id="42" w:name="_Toc25674"/>
      <w:r>
        <w:rPr>
          <w:rFonts w:hint="eastAsia" w:ascii="Arial" w:hAnsi="Arial" w:cs="Arial"/>
        </w:rPr>
        <w:t>附图</w:t>
      </w:r>
      <w:r>
        <w:rPr>
          <w:rFonts w:ascii="Arial" w:hAnsi="Arial" w:cs="Arial"/>
        </w:rPr>
        <w:t xml:space="preserve">4 </w:t>
      </w:r>
      <w:bookmarkEnd w:id="42"/>
      <w:bookmarkStart w:id="43" w:name="_Toc2302"/>
      <w:bookmarkStart w:id="44" w:name="_Toc13615"/>
      <w:bookmarkStart w:id="45" w:name="_Toc31255"/>
      <w:r>
        <w:rPr>
          <w:rFonts w:hint="eastAsia" w:ascii="Arial" w:hAnsi="Arial" w:cs="Arial"/>
        </w:rPr>
        <w:t>项目照片</w:t>
      </w:r>
      <w:bookmarkEnd w:id="43"/>
      <w:bookmarkEnd w:id="44"/>
      <w:bookmarkEnd w:id="45"/>
    </w:p>
    <w:p>
      <w:pPr>
        <w:jc w:val="center"/>
      </w:pPr>
      <w:r>
        <w:drawing>
          <wp:inline distT="0" distB="0" distL="0" distR="0">
            <wp:extent cx="5243830" cy="3933190"/>
            <wp:effectExtent l="19050" t="0" r="0" b="0"/>
            <wp:docPr id="4" name="图片 4" descr="F:\环评文件陈悦\2024\星桥学校验收\星桥学校资料\现场照片\IMG_20230718_09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环评文件陈悦\2024\星桥学校验收\星桥学校资料\现场照片\IMG_20230718_091552.jpg"/>
                    <pic:cNvPicPr>
                      <a:picLocks noChangeAspect="1" noChangeArrowheads="1"/>
                    </pic:cNvPicPr>
                  </pic:nvPicPr>
                  <pic:blipFill>
                    <a:blip r:embed="rId8" cstate="print"/>
                    <a:srcRect/>
                    <a:stretch>
                      <a:fillRect/>
                    </a:stretch>
                  </pic:blipFill>
                  <pic:spPr>
                    <a:xfrm>
                      <a:off x="0" y="0"/>
                      <a:ext cx="5243688" cy="3933407"/>
                    </a:xfrm>
                    <a:prstGeom prst="rect">
                      <a:avLst/>
                    </a:prstGeom>
                    <a:noFill/>
                    <a:ln w="9525">
                      <a:noFill/>
                      <a:miter lim="800000"/>
                      <a:headEnd/>
                      <a:tailEnd/>
                    </a:ln>
                  </pic:spPr>
                </pic:pic>
              </a:graphicData>
            </a:graphic>
          </wp:inline>
        </w:drawing>
      </w:r>
    </w:p>
    <w:p>
      <w:pPr>
        <w:jc w:val="center"/>
      </w:pPr>
      <w:r>
        <w:rPr>
          <w:rFonts w:hint="eastAsia"/>
        </w:rPr>
        <w:t>食堂油烟排放口</w:t>
      </w:r>
    </w:p>
    <w:p>
      <w:pPr>
        <w:jc w:val="center"/>
        <w:rPr>
          <w:rFonts w:hint="eastAsia" w:eastAsia="宋体"/>
          <w:lang w:eastAsia="zh-CN"/>
        </w:rPr>
      </w:pPr>
      <w:r>
        <w:rPr>
          <w:rFonts w:hint="eastAsia" w:eastAsia="宋体"/>
          <w:lang w:eastAsia="zh-CN"/>
        </w:rPr>
        <w:drawing>
          <wp:inline distT="0" distB="0" distL="114300" distR="114300">
            <wp:extent cx="5106670" cy="3830320"/>
            <wp:effectExtent l="0" t="0" r="13970" b="10160"/>
            <wp:docPr id="6" name="图片 6" descr="cec3ac6ae66d6934f5269a77f08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ec3ac6ae66d6934f5269a77f08e180"/>
                    <pic:cNvPicPr>
                      <a:picLocks noChangeAspect="1"/>
                    </pic:cNvPicPr>
                  </pic:nvPicPr>
                  <pic:blipFill>
                    <a:blip r:embed="rId9"/>
                    <a:stretch>
                      <a:fillRect/>
                    </a:stretch>
                  </pic:blipFill>
                  <pic:spPr>
                    <a:xfrm>
                      <a:off x="0" y="0"/>
                      <a:ext cx="5106670" cy="3830320"/>
                    </a:xfrm>
                    <a:prstGeom prst="rect">
                      <a:avLst/>
                    </a:prstGeom>
                  </pic:spPr>
                </pic:pic>
              </a:graphicData>
            </a:graphic>
          </wp:inline>
        </w:drawing>
      </w:r>
    </w:p>
    <w:p>
      <w:pPr>
        <w:jc w:val="center"/>
        <w:rPr>
          <w:rFonts w:hint="eastAsia" w:eastAsia="宋体"/>
          <w:lang w:eastAsia="zh-CN"/>
        </w:rPr>
      </w:pPr>
      <w:r>
        <w:rPr>
          <w:rFonts w:hint="eastAsia"/>
          <w:lang w:val="en-US" w:eastAsia="zh-CN"/>
        </w:rPr>
        <w:t>锅炉房</w:t>
      </w:r>
    </w:p>
    <w:p>
      <w:pPr>
        <w:pStyle w:val="3"/>
        <w:rPr>
          <w:rFonts w:ascii="Arial" w:hAnsi="Arial" w:cs="Arial"/>
        </w:rPr>
        <w:sectPr>
          <w:pgSz w:w="16838" w:h="11906" w:orient="landscape"/>
          <w:pgMar w:top="1797" w:right="1440" w:bottom="1797" w:left="1440" w:header="851" w:footer="992" w:gutter="0"/>
          <w:cols w:space="425" w:num="1"/>
          <w:docGrid w:type="linesAndChars" w:linePitch="312" w:charSpace="0"/>
        </w:sectPr>
      </w:pPr>
      <w:bookmarkStart w:id="46" w:name="_Toc18685"/>
      <w:bookmarkStart w:id="47" w:name="_Toc4950"/>
      <w:bookmarkStart w:id="48" w:name="_Toc22109"/>
    </w:p>
    <w:p>
      <w:pPr>
        <w:pStyle w:val="3"/>
        <w:rPr>
          <w:rFonts w:ascii="Arial" w:hAnsi="Arial" w:cs="Arial"/>
        </w:rPr>
      </w:pPr>
      <w:r>
        <w:rPr>
          <w:rFonts w:hint="eastAsia" w:ascii="Arial" w:hAnsi="Arial" w:cs="Arial"/>
        </w:rPr>
        <w:t>附件</w:t>
      </w:r>
      <w:bookmarkEnd w:id="46"/>
      <w:bookmarkEnd w:id="47"/>
      <w:bookmarkEnd w:id="48"/>
    </w:p>
    <w:p>
      <w:pPr>
        <w:pStyle w:val="4"/>
        <w:rPr>
          <w:rFonts w:ascii="Arial" w:hAnsi="Arial" w:cs="Arial"/>
        </w:rPr>
      </w:pPr>
      <w:bookmarkStart w:id="49" w:name="_Toc5936"/>
      <w:bookmarkStart w:id="50" w:name="_Toc31073"/>
      <w:bookmarkStart w:id="51" w:name="_Toc15721"/>
      <w:r>
        <w:rPr>
          <w:rFonts w:hint="eastAsia" w:ascii="Arial" w:hAnsi="Arial" w:cs="Arial"/>
        </w:rPr>
        <w:t>附件</w:t>
      </w:r>
      <w:r>
        <w:rPr>
          <w:rFonts w:ascii="Arial" w:hAnsi="Arial" w:cs="Arial"/>
        </w:rPr>
        <w:t>1</w:t>
      </w:r>
      <w:r>
        <w:rPr>
          <w:rFonts w:hint="eastAsia" w:ascii="Arial" w:hAnsi="Arial" w:cs="Arial"/>
        </w:rPr>
        <w:t>环评批复意见</w:t>
      </w:r>
      <w:bookmarkEnd w:id="49"/>
      <w:bookmarkEnd w:id="50"/>
      <w:bookmarkEnd w:id="51"/>
      <w:r>
        <w:rPr>
          <w:rFonts w:hint="eastAsia" w:ascii="Arial" w:hAnsi="Arial" w:cs="Arial"/>
          <w:b w:val="0"/>
        </w:rPr>
        <w:drawing>
          <wp:inline distT="0" distB="0" distL="0" distR="0">
            <wp:extent cx="5278120" cy="75311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srcRect/>
                    <a:stretch>
                      <a:fillRect/>
                    </a:stretch>
                  </pic:blipFill>
                  <pic:spPr>
                    <a:xfrm>
                      <a:off x="0" y="0"/>
                      <a:ext cx="5278120" cy="7531646"/>
                    </a:xfrm>
                    <a:prstGeom prst="rect">
                      <a:avLst/>
                    </a:prstGeom>
                    <a:noFill/>
                    <a:ln w="9525">
                      <a:noFill/>
                      <a:miter lim="800000"/>
                      <a:headEnd/>
                      <a:tailEnd/>
                    </a:ln>
                  </pic:spPr>
                </pic:pic>
              </a:graphicData>
            </a:graphic>
          </wp:inline>
        </w:drawing>
      </w:r>
    </w:p>
    <w:p>
      <w:pPr>
        <w:sectPr>
          <w:pgSz w:w="11906" w:h="16838"/>
          <w:pgMar w:top="1440" w:right="1797" w:bottom="1440" w:left="1797" w:header="851" w:footer="992" w:gutter="0"/>
          <w:cols w:space="425" w:num="1"/>
          <w:docGrid w:type="lines" w:linePitch="312" w:charSpace="0"/>
        </w:sectPr>
      </w:pPr>
    </w:p>
    <w:p>
      <w:r>
        <w:drawing>
          <wp:inline distT="0" distB="0" distL="0" distR="0">
            <wp:extent cx="5278120" cy="757872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a:srcRect/>
                    <a:stretch>
                      <a:fillRect/>
                    </a:stretch>
                  </pic:blipFill>
                  <pic:spPr>
                    <a:xfrm>
                      <a:off x="0" y="0"/>
                      <a:ext cx="5278120" cy="7579253"/>
                    </a:xfrm>
                    <a:prstGeom prst="rect">
                      <a:avLst/>
                    </a:prstGeom>
                    <a:noFill/>
                    <a:ln w="9525">
                      <a:noFill/>
                      <a:miter lim="800000"/>
                      <a:headEnd/>
                      <a:tailEnd/>
                    </a:ln>
                  </pic:spPr>
                </pic:pic>
              </a:graphicData>
            </a:graphic>
          </wp:inline>
        </w:drawing>
      </w:r>
    </w:p>
    <w:p>
      <w:pPr>
        <w:sectPr>
          <w:pgSz w:w="11906" w:h="16838"/>
          <w:pgMar w:top="1440" w:right="1797" w:bottom="1440" w:left="1797" w:header="851" w:footer="992" w:gutter="0"/>
          <w:cols w:space="425" w:num="1"/>
          <w:docGrid w:type="lines" w:linePitch="312" w:charSpace="0"/>
        </w:sectPr>
      </w:pPr>
    </w:p>
    <w:p>
      <w:pPr>
        <w:pStyle w:val="4"/>
        <w:rPr>
          <w:rFonts w:hint="eastAsia" w:ascii="Arial" w:hAnsi="Arial" w:cs="Arial"/>
          <w:b/>
          <w:kern w:val="0"/>
          <w:sz w:val="24"/>
          <w:szCs w:val="24"/>
          <w:lang w:val="en-US" w:eastAsia="zh-CN" w:bidi="ar-SA"/>
        </w:rPr>
      </w:pPr>
      <w:bookmarkStart w:id="52" w:name="_Toc12751"/>
      <w:bookmarkStart w:id="53" w:name="_Toc31757"/>
      <w:r>
        <w:rPr>
          <w:rFonts w:hint="eastAsia" w:ascii="Arial" w:hAnsi="Arial" w:cs="Arial"/>
          <w:b/>
          <w:kern w:val="0"/>
          <w:sz w:val="24"/>
          <w:szCs w:val="24"/>
          <w:lang w:val="en-US" w:eastAsia="zh-CN" w:bidi="ar-SA"/>
        </w:rPr>
        <w:t>附件2 危废委托处置合同</w:t>
      </w:r>
    </w:p>
    <w:p>
      <w:pPr>
        <w:rPr>
          <w:rFonts w:hint="default"/>
          <w:lang w:val="en-US" w:eastAsia="zh-CN"/>
        </w:rPr>
      </w:pPr>
      <w:r>
        <w:drawing>
          <wp:inline distT="0" distB="0" distL="114300" distR="114300">
            <wp:extent cx="4998720" cy="629412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4998720" cy="6294120"/>
                    </a:xfrm>
                    <a:prstGeom prst="rect">
                      <a:avLst/>
                    </a:prstGeom>
                    <a:noFill/>
                    <a:ln>
                      <a:noFill/>
                    </a:ln>
                  </pic:spPr>
                </pic:pic>
              </a:graphicData>
            </a:graphic>
          </wp:inline>
        </w:drawing>
      </w:r>
    </w:p>
    <w:p/>
    <w:p/>
    <w:p>
      <w:r>
        <w:drawing>
          <wp:inline distT="0" distB="0" distL="114300" distR="114300">
            <wp:extent cx="4975225" cy="6325870"/>
            <wp:effectExtent l="0" t="0" r="8255"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4975225" cy="6325870"/>
                    </a:xfrm>
                    <a:prstGeom prst="rect">
                      <a:avLst/>
                    </a:prstGeom>
                    <a:noFill/>
                    <a:ln>
                      <a:noFill/>
                    </a:ln>
                  </pic:spPr>
                </pic:pic>
              </a:graphicData>
            </a:graphic>
          </wp:inline>
        </w:drawing>
      </w:r>
    </w:p>
    <w:p>
      <w:pPr>
        <w:sectPr>
          <w:pgSz w:w="11906" w:h="16838"/>
          <w:pgMar w:top="1440" w:right="1797" w:bottom="1440" w:left="1797" w:header="851" w:footer="992" w:gutter="0"/>
          <w:paperSrc/>
          <w:cols w:space="0" w:num="1"/>
          <w:rtlGutter w:val="0"/>
          <w:docGrid w:type="linesAndChars" w:linePitch="312" w:charSpace="640"/>
        </w:sectPr>
      </w:pPr>
      <w:r>
        <w:drawing>
          <wp:inline distT="0" distB="0" distL="114300" distR="114300">
            <wp:extent cx="4991100" cy="6263640"/>
            <wp:effectExtent l="0" t="0" r="762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4991100" cy="6263640"/>
                    </a:xfrm>
                    <a:prstGeom prst="rect">
                      <a:avLst/>
                    </a:prstGeom>
                    <a:noFill/>
                    <a:ln>
                      <a:noFill/>
                    </a:ln>
                  </pic:spPr>
                </pic:pic>
              </a:graphicData>
            </a:graphic>
          </wp:inline>
        </w:drawing>
      </w:r>
    </w:p>
    <w:p>
      <w:pPr>
        <w:rPr>
          <w:rFonts w:hint="default"/>
          <w:lang w:val="en-US" w:eastAsia="zh-CN"/>
        </w:rPr>
      </w:pPr>
    </w:p>
    <w:p>
      <w:pPr>
        <w:pStyle w:val="4"/>
        <w:rPr>
          <w:rFonts w:hint="eastAsia" w:ascii="Arial" w:hAnsi="Arial" w:cs="Arial"/>
          <w:b/>
          <w:kern w:val="0"/>
          <w:sz w:val="24"/>
          <w:szCs w:val="24"/>
          <w:lang w:val="en-US" w:eastAsia="zh-CN" w:bidi="ar-SA"/>
        </w:rPr>
      </w:pPr>
      <w:bookmarkStart w:id="64" w:name="_GoBack"/>
      <w:bookmarkEnd w:id="64"/>
      <w:r>
        <w:rPr>
          <w:rFonts w:hint="eastAsia" w:ascii="Arial" w:hAnsi="Arial" w:cs="Arial"/>
          <w:b/>
          <w:kern w:val="0"/>
          <w:sz w:val="24"/>
          <w:szCs w:val="24"/>
          <w:lang w:val="en-US" w:eastAsia="zh-CN" w:bidi="ar-SA"/>
        </w:rPr>
        <w:t>附件3 监测报告</w:t>
      </w:r>
    </w:p>
    <w:p>
      <w:pPr>
        <w:rPr>
          <w:rFonts w:hint="eastAsia"/>
          <w:lang w:val="en-US" w:eastAsia="zh-CN"/>
        </w:rPr>
      </w:pPr>
    </w:p>
    <w:p>
      <w:pPr>
        <w:rPr>
          <w:rFonts w:hint="eastAsia" w:ascii="Arial" w:hAnsi="Arial" w:cs="Arial"/>
          <w:b/>
          <w:kern w:val="0"/>
          <w:sz w:val="24"/>
          <w:szCs w:val="24"/>
          <w:lang w:val="en-US" w:eastAsia="zh-CN" w:bidi="ar-SA"/>
        </w:rPr>
        <w:sectPr>
          <w:pgSz w:w="16838" w:h="11906" w:orient="landscape"/>
          <w:pgMar w:top="1797" w:right="1440" w:bottom="1797" w:left="1440" w:header="851" w:footer="992" w:gutter="0"/>
          <w:cols w:space="425" w:num="1"/>
          <w:docGrid w:type="linesAndChars" w:linePitch="312" w:charSpace="0"/>
        </w:sectPr>
      </w:pPr>
    </w:p>
    <w:p>
      <w:pPr>
        <w:rPr>
          <w:rFonts w:hint="default" w:ascii="Arial" w:hAnsi="Arial" w:cs="Arial"/>
          <w:b/>
          <w:kern w:val="0"/>
          <w:sz w:val="24"/>
          <w:szCs w:val="24"/>
          <w:lang w:val="en-US" w:eastAsia="zh-CN" w:bidi="ar-SA"/>
        </w:rPr>
      </w:pPr>
    </w:p>
    <w:p>
      <w:pPr>
        <w:spacing w:line="240" w:lineRule="atLeast"/>
        <w:jc w:val="center"/>
        <w:outlineLvl w:val="0"/>
        <w:rPr>
          <w:rFonts w:eastAsia="黑体"/>
          <w:b/>
          <w:color w:val="000000"/>
          <w:szCs w:val="21"/>
        </w:rPr>
      </w:pPr>
      <w:r>
        <w:rPr>
          <w:rFonts w:hint="eastAsia" w:eastAsia="黑体"/>
          <w:b/>
          <w:color w:val="000000"/>
          <w:szCs w:val="21"/>
        </w:rPr>
        <w:t>建设项目竣工环境保护“三同时”验收登记表</w:t>
      </w:r>
      <w:bookmarkEnd w:id="52"/>
      <w:bookmarkEnd w:id="53"/>
    </w:p>
    <w:p>
      <w:pPr>
        <w:spacing w:line="240" w:lineRule="atLeast"/>
        <w:jc w:val="center"/>
        <w:rPr>
          <w:rFonts w:eastAsia="黑体"/>
          <w:b/>
          <w:color w:val="000000"/>
          <w:szCs w:val="21"/>
        </w:rPr>
      </w:pPr>
    </w:p>
    <w:p>
      <w:pPr>
        <w:spacing w:line="240" w:lineRule="atLeast"/>
        <w:rPr>
          <w:rFonts w:ascii="宋体" w:hAnsi="宋体"/>
          <w:b/>
          <w:color w:val="000000"/>
          <w:szCs w:val="21"/>
        </w:rPr>
      </w:pPr>
      <w:r>
        <w:rPr>
          <w:rFonts w:hint="eastAsia" w:ascii="宋体" w:hAnsi="宋体"/>
          <w:b/>
          <w:color w:val="000000"/>
          <w:szCs w:val="21"/>
        </w:rPr>
        <w:t>填表单位（盖章）：                  填表人（签字）：                              项目经办人（签字）：</w:t>
      </w:r>
    </w:p>
    <w:tbl>
      <w:tblPr>
        <w:tblStyle w:val="33"/>
        <w:tblW w:w="160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1"/>
        <w:gridCol w:w="322"/>
        <w:gridCol w:w="1480"/>
        <w:gridCol w:w="736"/>
        <w:gridCol w:w="1255"/>
        <w:gridCol w:w="1050"/>
        <w:gridCol w:w="1179"/>
        <w:gridCol w:w="921"/>
        <w:gridCol w:w="1132"/>
        <w:gridCol w:w="890"/>
        <w:gridCol w:w="2423"/>
        <w:gridCol w:w="816"/>
        <w:gridCol w:w="619"/>
        <w:gridCol w:w="338"/>
        <w:gridCol w:w="839"/>
        <w:gridCol w:w="657"/>
        <w:gridCol w:w="9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1" w:type="dxa"/>
            <w:vMerge w:val="restart"/>
            <w:tcBorders>
              <w:top w:val="single" w:color="auto" w:sz="8" w:space="0"/>
              <w:left w:val="single" w:color="auto" w:sz="8" w:space="0"/>
              <w:bottom w:val="single" w:color="auto" w:sz="4" w:space="0"/>
              <w:right w:val="single" w:color="auto" w:sz="4" w:space="0"/>
            </w:tcBorders>
            <w:noWrap/>
            <w:tcMar>
              <w:top w:w="0" w:type="dxa"/>
              <w:left w:w="57" w:type="dxa"/>
              <w:bottom w:w="0" w:type="dxa"/>
              <w:right w:w="57" w:type="dxa"/>
            </w:tcMar>
            <w:textDirection w:val="tbRlV"/>
            <w:vAlign w:val="center"/>
          </w:tcPr>
          <w:p>
            <w:pPr>
              <w:spacing w:line="240" w:lineRule="atLeast"/>
              <w:jc w:val="center"/>
              <w:rPr>
                <w:b/>
                <w:color w:val="000000"/>
                <w:sz w:val="15"/>
                <w:szCs w:val="15"/>
              </w:rPr>
            </w:pPr>
            <w:r>
              <w:rPr>
                <w:rFonts w:hint="eastAsia"/>
                <w:b/>
                <w:color w:val="000000"/>
                <w:sz w:val="15"/>
                <w:szCs w:val="15"/>
              </w:rPr>
              <w:t>建设项目</w:t>
            </w:r>
          </w:p>
        </w:tc>
        <w:tc>
          <w:tcPr>
            <w:tcW w:w="1802" w:type="dxa"/>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项目名称</w:t>
            </w:r>
          </w:p>
        </w:tc>
        <w:tc>
          <w:tcPr>
            <w:tcW w:w="5141" w:type="dxa"/>
            <w:gridSpan w:val="5"/>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bCs/>
                <w:color w:val="000000"/>
                <w:sz w:val="15"/>
                <w:szCs w:val="15"/>
              </w:rPr>
              <w:t>余杭区星桥九年一贯制学校项目</w:t>
            </w:r>
          </w:p>
        </w:tc>
        <w:tc>
          <w:tcPr>
            <w:tcW w:w="2022" w:type="dxa"/>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项目代码</w:t>
            </w:r>
          </w:p>
        </w:tc>
        <w:tc>
          <w:tcPr>
            <w:tcW w:w="2423" w:type="dxa"/>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w:t>
            </w:r>
          </w:p>
        </w:tc>
        <w:tc>
          <w:tcPr>
            <w:tcW w:w="1435" w:type="dxa"/>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建设地点</w:t>
            </w:r>
          </w:p>
        </w:tc>
        <w:tc>
          <w:tcPr>
            <w:tcW w:w="2796" w:type="dxa"/>
            <w:gridSpan w:val="4"/>
            <w:tcBorders>
              <w:top w:val="single" w:color="auto" w:sz="8"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浙江省杭州市临平区临丁路66号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行业类别（分类管理名录）</w:t>
            </w:r>
          </w:p>
        </w:tc>
        <w:tc>
          <w:tcPr>
            <w:tcW w:w="5141" w:type="dxa"/>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bCs/>
                <w:color w:val="000000"/>
                <w:sz w:val="15"/>
                <w:szCs w:val="15"/>
              </w:rPr>
              <w:t>“</w:t>
            </w:r>
            <w:r>
              <w:rPr>
                <w:rFonts w:hint="eastAsia"/>
                <w:b/>
                <w:bCs/>
                <w:color w:val="000000"/>
                <w:sz w:val="15"/>
                <w:szCs w:val="15"/>
              </w:rPr>
              <w:t>五十、社会事业与服务业</w:t>
            </w:r>
            <w:r>
              <w:rPr>
                <w:b/>
                <w:bCs/>
                <w:color w:val="000000"/>
                <w:sz w:val="15"/>
                <w:szCs w:val="15"/>
              </w:rPr>
              <w:t>”</w:t>
            </w:r>
            <w:r>
              <w:rPr>
                <w:rFonts w:hint="eastAsia"/>
                <w:b/>
                <w:bCs/>
                <w:color w:val="000000"/>
                <w:sz w:val="15"/>
                <w:szCs w:val="15"/>
              </w:rPr>
              <w:t>中110项</w:t>
            </w:r>
            <w:r>
              <w:rPr>
                <w:b/>
                <w:bCs/>
                <w:color w:val="000000"/>
                <w:sz w:val="15"/>
                <w:szCs w:val="15"/>
              </w:rPr>
              <w:t>“</w:t>
            </w:r>
            <w:r>
              <w:rPr>
                <w:rFonts w:hint="eastAsia"/>
                <w:b/>
                <w:bCs/>
                <w:color w:val="000000"/>
                <w:sz w:val="15"/>
                <w:szCs w:val="15"/>
              </w:rPr>
              <w:t>学校、福利院、养老院（建筑面积5000平方米及以上的）</w:t>
            </w:r>
            <w:r>
              <w:rPr>
                <w:b/>
                <w:bCs/>
                <w:color w:val="000000"/>
                <w:sz w:val="15"/>
                <w:szCs w:val="15"/>
              </w:rPr>
              <w:t>”</w:t>
            </w:r>
            <w:r>
              <w:rPr>
                <w:rFonts w:hint="eastAsia"/>
                <w:b/>
                <w:bCs/>
                <w:color w:val="000000"/>
                <w:sz w:val="15"/>
                <w:szCs w:val="15"/>
              </w:rPr>
              <w:t>中</w:t>
            </w:r>
            <w:r>
              <w:rPr>
                <w:b/>
                <w:bCs/>
                <w:color w:val="000000"/>
                <w:sz w:val="15"/>
                <w:szCs w:val="15"/>
              </w:rPr>
              <w:t>“新建涉及环境敏感区的；有化学、生物实验室的学校”</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建设性质</w:t>
            </w:r>
          </w:p>
        </w:tc>
        <w:tc>
          <w:tcPr>
            <w:tcW w:w="3858" w:type="dxa"/>
            <w:gridSpan w:val="3"/>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ascii="MS Mincho" w:hAnsi="MS Mincho" w:eastAsia="MS Mincho" w:cs="MS Mincho"/>
                <w:b/>
                <w:color w:val="000000"/>
                <w:sz w:val="15"/>
                <w:szCs w:val="15"/>
              </w:rPr>
              <w:t>☑</w:t>
            </w:r>
            <w:r>
              <w:rPr>
                <w:rFonts w:hint="eastAsia"/>
                <w:b/>
                <w:color w:val="000000"/>
                <w:sz w:val="15"/>
                <w:szCs w:val="15"/>
              </w:rPr>
              <w:t>新建</w:t>
            </w:r>
            <w:r>
              <w:rPr>
                <w:b/>
                <w:color w:val="000000"/>
                <w:sz w:val="15"/>
                <w:szCs w:val="15"/>
              </w:rPr>
              <w:t xml:space="preserve">  □ </w:t>
            </w:r>
            <w:r>
              <w:rPr>
                <w:rFonts w:hint="eastAsia"/>
                <w:b/>
                <w:color w:val="000000"/>
                <w:sz w:val="15"/>
                <w:szCs w:val="15"/>
              </w:rPr>
              <w:t>改扩建</w:t>
            </w:r>
            <w:r>
              <w:rPr>
                <w:b/>
                <w:color w:val="000000"/>
                <w:sz w:val="15"/>
                <w:szCs w:val="15"/>
              </w:rPr>
              <w:t xml:space="preserve">  □</w:t>
            </w:r>
            <w:r>
              <w:rPr>
                <w:rFonts w:hint="eastAsia"/>
                <w:b/>
                <w:color w:val="000000"/>
                <w:sz w:val="15"/>
                <w:szCs w:val="15"/>
              </w:rPr>
              <w:t>技术改造</w:t>
            </w:r>
          </w:p>
        </w:tc>
        <w:tc>
          <w:tcPr>
            <w:tcW w:w="1177"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项目厂区中心经度</w:t>
            </w:r>
            <w:r>
              <w:rPr>
                <w:b/>
                <w:color w:val="000000"/>
                <w:sz w:val="15"/>
                <w:szCs w:val="15"/>
              </w:rPr>
              <w:t>/</w:t>
            </w:r>
            <w:r>
              <w:rPr>
                <w:rFonts w:hint="eastAsia"/>
                <w:b/>
                <w:color w:val="000000"/>
                <w:sz w:val="15"/>
                <w:szCs w:val="15"/>
              </w:rPr>
              <w:t>纬度</w:t>
            </w:r>
          </w:p>
        </w:tc>
        <w:tc>
          <w:tcPr>
            <w:tcW w:w="1619"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bCs/>
                <w:color w:val="000000"/>
                <w:sz w:val="15"/>
                <w:szCs w:val="15"/>
              </w:rPr>
              <w:t>东经</w:t>
            </w:r>
            <w:r>
              <w:rPr>
                <w:b/>
                <w:color w:val="000000"/>
                <w:sz w:val="15"/>
                <w:szCs w:val="15"/>
              </w:rPr>
              <w:t>120.</w:t>
            </w:r>
            <w:r>
              <w:rPr>
                <w:rFonts w:hint="eastAsia"/>
                <w:b/>
                <w:color w:val="000000"/>
                <w:sz w:val="15"/>
                <w:szCs w:val="15"/>
              </w:rPr>
              <w:t>250075</w:t>
            </w:r>
            <w:r>
              <w:rPr>
                <w:b/>
                <w:bCs/>
                <w:color w:val="000000"/>
                <w:sz w:val="15"/>
                <w:szCs w:val="15"/>
              </w:rPr>
              <w:t>°/</w:t>
            </w:r>
            <w:r>
              <w:rPr>
                <w:rFonts w:hint="eastAsia"/>
                <w:b/>
                <w:bCs/>
                <w:color w:val="000000"/>
                <w:sz w:val="15"/>
                <w:szCs w:val="15"/>
              </w:rPr>
              <w:t>北纬</w:t>
            </w:r>
            <w:r>
              <w:rPr>
                <w:b/>
                <w:color w:val="000000"/>
                <w:sz w:val="15"/>
                <w:szCs w:val="15"/>
              </w:rPr>
              <w:t>30.</w:t>
            </w:r>
            <w:r>
              <w:rPr>
                <w:rFonts w:hint="eastAsia"/>
                <w:b/>
                <w:color w:val="000000"/>
                <w:sz w:val="15"/>
                <w:szCs w:val="15"/>
              </w:rPr>
              <w:t>383507</w:t>
            </w:r>
            <w:r>
              <w:rPr>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设计生产能力</w:t>
            </w:r>
          </w:p>
        </w:tc>
        <w:tc>
          <w:tcPr>
            <w:tcW w:w="5141" w:type="dxa"/>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项目总用地面积约为67588平方米，设计建设总建筑面积65372.67平方米。建设1幢小学教学楼（含实验室、图书馆、多功能厅）、1幢初中教学楼（含实验室、综合楼、行政办公楼、阶梯教室）、1幢体育馆（含室内游泳池）、1个田径场、2个运动场、1个食堂。</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实际生产能力</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项目总用地面积约为67588平方米，总建筑面积65372.67平方米。建设1幢小学教学楼（含实验室、图书馆、多功能厅）、1幢初中教学楼（含实验室、综合楼、行政办公楼、阶梯教室）、1幢体育馆（含室内游泳池）、1个田径场、2个运动场、1个食堂</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环评单位</w:t>
            </w:r>
          </w:p>
        </w:tc>
        <w:tc>
          <w:tcPr>
            <w:tcW w:w="2796" w:type="dxa"/>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煤科集团杭州环保研究院有限公司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环评文件审批机关</w:t>
            </w:r>
          </w:p>
        </w:tc>
        <w:tc>
          <w:tcPr>
            <w:tcW w:w="5141" w:type="dxa"/>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FF0000"/>
                <w:sz w:val="15"/>
                <w:szCs w:val="15"/>
              </w:rPr>
              <w:t>原</w:t>
            </w:r>
            <w:r>
              <w:rPr>
                <w:b/>
                <w:color w:val="FF0000"/>
                <w:sz w:val="15"/>
                <w:szCs w:val="15"/>
              </w:rPr>
              <w:t>杭州市</w:t>
            </w:r>
            <w:r>
              <w:rPr>
                <w:rFonts w:hint="eastAsia"/>
                <w:b/>
                <w:color w:val="FF0000"/>
                <w:sz w:val="15"/>
                <w:szCs w:val="15"/>
              </w:rPr>
              <w:t>余杭</w:t>
            </w:r>
            <w:r>
              <w:rPr>
                <w:rFonts w:hint="eastAsia"/>
                <w:b/>
                <w:color w:val="FF0000"/>
                <w:sz w:val="15"/>
                <w:szCs w:val="15"/>
                <w:lang w:val="en-US" w:eastAsia="zh-CN"/>
              </w:rPr>
              <w:t>区</w:t>
            </w:r>
            <w:r>
              <w:rPr>
                <w:b/>
                <w:color w:val="FF0000"/>
                <w:sz w:val="15"/>
                <w:szCs w:val="15"/>
              </w:rPr>
              <w:t>环境保护局</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审批文号</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环评批复〔2018〕256号</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环评文件类型</w:t>
            </w:r>
          </w:p>
        </w:tc>
        <w:tc>
          <w:tcPr>
            <w:tcW w:w="2796" w:type="dxa"/>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开工日期</w:t>
            </w:r>
          </w:p>
        </w:tc>
        <w:tc>
          <w:tcPr>
            <w:tcW w:w="5141" w:type="dxa"/>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20</w:t>
            </w:r>
            <w:r>
              <w:rPr>
                <w:rFonts w:hint="eastAsia"/>
                <w:b/>
                <w:color w:val="000000"/>
                <w:sz w:val="15"/>
                <w:szCs w:val="15"/>
              </w:rPr>
              <w:t>18年10月</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竣工日期</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FF0000"/>
                <w:sz w:val="15"/>
                <w:szCs w:val="15"/>
              </w:rPr>
              <w:t>202</w:t>
            </w:r>
            <w:r>
              <w:rPr>
                <w:rFonts w:hint="eastAsia"/>
                <w:b/>
                <w:color w:val="FF0000"/>
                <w:sz w:val="15"/>
                <w:szCs w:val="15"/>
                <w:lang w:val="en-US" w:eastAsia="zh-CN"/>
              </w:rPr>
              <w:t>0</w:t>
            </w:r>
            <w:r>
              <w:rPr>
                <w:rFonts w:hint="eastAsia"/>
                <w:b/>
                <w:color w:val="FF0000"/>
                <w:sz w:val="15"/>
                <w:szCs w:val="15"/>
              </w:rPr>
              <w:t>年</w:t>
            </w:r>
            <w:r>
              <w:rPr>
                <w:rFonts w:hint="eastAsia"/>
                <w:b/>
                <w:color w:val="FF0000"/>
                <w:sz w:val="15"/>
                <w:szCs w:val="15"/>
                <w:lang w:val="en-US" w:eastAsia="zh-CN"/>
              </w:rPr>
              <w:t>6</w:t>
            </w:r>
            <w:r>
              <w:rPr>
                <w:rFonts w:hint="eastAsia"/>
                <w:b/>
                <w:color w:val="FF0000"/>
                <w:sz w:val="15"/>
                <w:szCs w:val="15"/>
              </w:rPr>
              <w:t>月</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排污许可回执取得时间</w:t>
            </w:r>
          </w:p>
        </w:tc>
        <w:tc>
          <w:tcPr>
            <w:tcW w:w="2796" w:type="dxa"/>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themeColor="text1"/>
                <w:sz w:val="15"/>
                <w:szCs w:val="15"/>
              </w:rPr>
            </w:pPr>
            <w:r>
              <w:rPr>
                <w:rFonts w:hint="eastAsia"/>
                <w:b/>
                <w:color w:val="000000" w:themeColor="text1"/>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环保设施设计单位</w:t>
            </w:r>
          </w:p>
        </w:tc>
        <w:tc>
          <w:tcPr>
            <w:tcW w:w="5141" w:type="dxa"/>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环保设施施工单位</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本工程排污许回执编号</w:t>
            </w:r>
          </w:p>
        </w:tc>
        <w:tc>
          <w:tcPr>
            <w:tcW w:w="2796" w:type="dxa"/>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themeColor="text1"/>
                <w:sz w:val="15"/>
                <w:szCs w:val="15"/>
              </w:rPr>
            </w:pPr>
            <w:r>
              <w:rPr>
                <w:rFonts w:hint="eastAsia"/>
                <w:b/>
                <w:color w:val="000000" w:themeColor="text1"/>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验收单位</w:t>
            </w:r>
          </w:p>
        </w:tc>
        <w:tc>
          <w:tcPr>
            <w:tcW w:w="5141" w:type="dxa"/>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杭州市临平区教育资产营运管理中心</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环保设施监测单位</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杭州中环检测技术有限公司</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验收监测时工况</w:t>
            </w:r>
          </w:p>
        </w:tc>
        <w:tc>
          <w:tcPr>
            <w:tcW w:w="2796" w:type="dxa"/>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bCs/>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投资总概算（万元）</w:t>
            </w:r>
          </w:p>
        </w:tc>
        <w:tc>
          <w:tcPr>
            <w:tcW w:w="5141" w:type="dxa"/>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45500</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tabs>
                <w:tab w:val="left" w:pos="690"/>
              </w:tabs>
              <w:spacing w:line="240" w:lineRule="atLeast"/>
              <w:jc w:val="center"/>
              <w:rPr>
                <w:color w:val="000000"/>
                <w:sz w:val="15"/>
                <w:szCs w:val="15"/>
              </w:rPr>
            </w:pPr>
            <w:r>
              <w:rPr>
                <w:rFonts w:hint="eastAsia"/>
                <w:b/>
                <w:color w:val="000000"/>
                <w:sz w:val="15"/>
                <w:szCs w:val="15"/>
              </w:rPr>
              <w:t>环保投资总概算（万元）</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310</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tabs>
                <w:tab w:val="left" w:pos="690"/>
              </w:tabs>
              <w:spacing w:line="240" w:lineRule="atLeast"/>
              <w:jc w:val="center"/>
              <w:rPr>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796" w:type="dxa"/>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实际总投资</w:t>
            </w:r>
          </w:p>
        </w:tc>
        <w:tc>
          <w:tcPr>
            <w:tcW w:w="5141" w:type="dxa"/>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45500</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实际环保投资（万元）</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310</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796" w:type="dxa"/>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废水治理（万元）</w:t>
            </w:r>
          </w:p>
        </w:tc>
        <w:tc>
          <w:tcPr>
            <w:tcW w:w="73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40</w:t>
            </w:r>
          </w:p>
        </w:tc>
        <w:tc>
          <w:tcPr>
            <w:tcW w:w="12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废气治理（万元）</w:t>
            </w:r>
          </w:p>
        </w:tc>
        <w:tc>
          <w:tcPr>
            <w:tcW w:w="105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35</w:t>
            </w:r>
          </w:p>
        </w:tc>
        <w:tc>
          <w:tcPr>
            <w:tcW w:w="117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噪声治理（万元）</w:t>
            </w:r>
          </w:p>
        </w:tc>
        <w:tc>
          <w:tcPr>
            <w:tcW w:w="92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165</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固体废物治理（万元）</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color w:val="000000"/>
                <w:sz w:val="15"/>
                <w:szCs w:val="15"/>
              </w:rPr>
              <w:t>20</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绿化及生态（万元）</w:t>
            </w:r>
          </w:p>
        </w:tc>
        <w:tc>
          <w:tcPr>
            <w:tcW w:w="338"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color w:val="000000"/>
                <w:sz w:val="15"/>
                <w:szCs w:val="15"/>
              </w:rPr>
              <w:t>/</w:t>
            </w:r>
          </w:p>
        </w:tc>
        <w:tc>
          <w:tcPr>
            <w:tcW w:w="1496"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其他（万元）</w:t>
            </w:r>
          </w:p>
        </w:tc>
        <w:tc>
          <w:tcPr>
            <w:tcW w:w="962" w:type="dxa"/>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color w:val="000000"/>
                <w:sz w:val="15"/>
                <w:szCs w:val="15"/>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b/>
                <w:color w:val="000000"/>
                <w:sz w:val="15"/>
                <w:szCs w:val="15"/>
              </w:rPr>
            </w:pPr>
          </w:p>
        </w:tc>
        <w:tc>
          <w:tcPr>
            <w:tcW w:w="180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新增废水处理设施能力</w:t>
            </w:r>
          </w:p>
        </w:tc>
        <w:tc>
          <w:tcPr>
            <w:tcW w:w="5141" w:type="dxa"/>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w:t>
            </w:r>
          </w:p>
        </w:tc>
        <w:tc>
          <w:tcPr>
            <w:tcW w:w="2022"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新增废气处理设施能力</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b/>
                <w:color w:val="000000"/>
                <w:sz w:val="15"/>
                <w:szCs w:val="15"/>
              </w:rPr>
              <w:t>/</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年平均工作时</w:t>
            </w:r>
          </w:p>
        </w:tc>
        <w:tc>
          <w:tcPr>
            <w:tcW w:w="2796" w:type="dxa"/>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233" w:type="dxa"/>
            <w:gridSpan w:val="3"/>
            <w:tcBorders>
              <w:top w:val="single" w:color="auto" w:sz="4" w:space="0"/>
              <w:left w:val="single" w:color="auto" w:sz="8"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运营单位</w:t>
            </w:r>
          </w:p>
        </w:tc>
        <w:tc>
          <w:tcPr>
            <w:tcW w:w="4220" w:type="dxa"/>
            <w:gridSpan w:val="4"/>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color w:val="000000"/>
                <w:sz w:val="15"/>
                <w:szCs w:val="15"/>
              </w:rPr>
            </w:pPr>
            <w:r>
              <w:rPr>
                <w:color w:val="000000"/>
                <w:sz w:val="15"/>
                <w:szCs w:val="15"/>
              </w:rPr>
              <w:t>/</w:t>
            </w:r>
          </w:p>
        </w:tc>
        <w:tc>
          <w:tcPr>
            <w:tcW w:w="2943" w:type="dxa"/>
            <w:gridSpan w:val="3"/>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color w:val="000000"/>
                <w:sz w:val="15"/>
                <w:szCs w:val="15"/>
              </w:rPr>
            </w:pPr>
            <w:r>
              <w:rPr>
                <w:rFonts w:hint="eastAsia"/>
                <w:b/>
                <w:color w:val="000000"/>
                <w:sz w:val="15"/>
                <w:szCs w:val="15"/>
              </w:rPr>
              <w:t>运营单位社会统一信用代码（或组织机构代码）</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435"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验收时间</w:t>
            </w:r>
          </w:p>
        </w:tc>
        <w:tc>
          <w:tcPr>
            <w:tcW w:w="2796" w:type="dxa"/>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3" w:type="dxa"/>
            <w:gridSpan w:val="2"/>
            <w:vMerge w:val="restart"/>
            <w:tcBorders>
              <w:top w:val="single" w:color="auto" w:sz="4" w:space="0"/>
              <w:left w:val="single" w:color="auto" w:sz="8" w:space="0"/>
              <w:right w:val="single" w:color="auto" w:sz="4" w:space="0"/>
            </w:tcBorders>
            <w:noWrap/>
            <w:tcMar>
              <w:top w:w="0" w:type="dxa"/>
              <w:left w:w="57" w:type="dxa"/>
              <w:bottom w:w="0" w:type="dxa"/>
              <w:right w:w="57" w:type="dxa"/>
            </w:tcMar>
            <w:vAlign w:val="center"/>
          </w:tcPr>
          <w:p>
            <w:pPr>
              <w:spacing w:line="240" w:lineRule="atLeast"/>
              <w:rPr>
                <w:rFonts w:eastAsia="黑体"/>
                <w:b/>
                <w:color w:val="000000"/>
                <w:spacing w:val="20"/>
                <w:sz w:val="15"/>
                <w:szCs w:val="15"/>
              </w:rPr>
            </w:pPr>
            <w:r>
              <w:rPr>
                <w:rFonts w:hint="eastAsia" w:eastAsia="黑体"/>
                <w:b/>
                <w:color w:val="000000"/>
                <w:spacing w:val="20"/>
                <w:sz w:val="15"/>
                <w:szCs w:val="15"/>
              </w:rPr>
              <w:t>污染物排放达</w:t>
            </w:r>
          </w:p>
          <w:p>
            <w:pPr>
              <w:spacing w:line="240" w:lineRule="atLeast"/>
              <w:rPr>
                <w:rFonts w:eastAsia="黑体"/>
                <w:b/>
                <w:color w:val="000000"/>
                <w:spacing w:val="20"/>
                <w:sz w:val="15"/>
                <w:szCs w:val="15"/>
              </w:rPr>
            </w:pPr>
            <w:r>
              <w:rPr>
                <w:rFonts w:hint="eastAsia" w:eastAsia="黑体"/>
                <w:b/>
                <w:color w:val="000000"/>
                <w:spacing w:val="20"/>
                <w:sz w:val="15"/>
                <w:szCs w:val="15"/>
              </w:rPr>
              <w:t>标与总量控制（工业建设项</w:t>
            </w:r>
          </w:p>
          <w:p>
            <w:pPr>
              <w:spacing w:line="240" w:lineRule="atLeast"/>
              <w:rPr>
                <w:rFonts w:eastAsia="黑体"/>
                <w:b/>
                <w:color w:val="000000"/>
                <w:spacing w:val="20"/>
                <w:sz w:val="15"/>
                <w:szCs w:val="15"/>
              </w:rPr>
            </w:pPr>
            <w:r>
              <w:rPr>
                <w:rFonts w:hint="eastAsia" w:eastAsia="黑体"/>
                <w:b/>
                <w:color w:val="000000"/>
                <w:spacing w:val="20"/>
                <w:sz w:val="15"/>
                <w:szCs w:val="15"/>
              </w:rPr>
              <w:t>目详填）</w:t>
            </w:r>
          </w:p>
        </w:tc>
        <w:tc>
          <w:tcPr>
            <w:tcW w:w="148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color w:val="000000"/>
                <w:sz w:val="15"/>
                <w:szCs w:val="15"/>
              </w:rPr>
            </w:pPr>
            <w:r>
              <w:rPr>
                <w:rFonts w:hint="eastAsia"/>
                <w:b/>
                <w:color w:val="000000"/>
                <w:sz w:val="15"/>
                <w:szCs w:val="15"/>
              </w:rPr>
              <w:t>污染物</w:t>
            </w:r>
          </w:p>
        </w:tc>
        <w:tc>
          <w:tcPr>
            <w:tcW w:w="73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原有排放量</w:t>
            </w:r>
            <w:r>
              <w:rPr>
                <w:b/>
                <w:color w:val="000000"/>
                <w:sz w:val="15"/>
                <w:szCs w:val="15"/>
              </w:rPr>
              <w:t>(1)</w:t>
            </w:r>
          </w:p>
        </w:tc>
        <w:tc>
          <w:tcPr>
            <w:tcW w:w="12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本期工程实际排放浓度</w:t>
            </w:r>
            <w:r>
              <w:rPr>
                <w:b/>
                <w:color w:val="000000"/>
                <w:sz w:val="15"/>
                <w:szCs w:val="15"/>
              </w:rPr>
              <w:t>(2)</w:t>
            </w:r>
          </w:p>
        </w:tc>
        <w:tc>
          <w:tcPr>
            <w:tcW w:w="105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本期工程允许排放浓度</w:t>
            </w:r>
            <w:r>
              <w:rPr>
                <w:b/>
                <w:color w:val="000000"/>
                <w:sz w:val="15"/>
                <w:szCs w:val="15"/>
              </w:rPr>
              <w:t>(3)</w:t>
            </w:r>
          </w:p>
        </w:tc>
        <w:tc>
          <w:tcPr>
            <w:tcW w:w="117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本期工程产生量</w:t>
            </w:r>
            <w:r>
              <w:rPr>
                <w:b/>
                <w:color w:val="000000"/>
                <w:sz w:val="15"/>
                <w:szCs w:val="15"/>
              </w:rPr>
              <w:t>(4)</w:t>
            </w:r>
          </w:p>
        </w:tc>
        <w:tc>
          <w:tcPr>
            <w:tcW w:w="92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本期工程自身削减量</w:t>
            </w:r>
            <w:r>
              <w:rPr>
                <w:b/>
                <w:color w:val="000000"/>
                <w:sz w:val="15"/>
                <w:szCs w:val="15"/>
              </w:rPr>
              <w:t>(5)</w:t>
            </w:r>
          </w:p>
        </w:tc>
        <w:tc>
          <w:tcPr>
            <w:tcW w:w="113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本期工程实际排放量</w:t>
            </w:r>
            <w:r>
              <w:rPr>
                <w:b/>
                <w:color w:val="000000"/>
                <w:sz w:val="15"/>
                <w:szCs w:val="15"/>
              </w:rPr>
              <w:t>(6)</w:t>
            </w:r>
          </w:p>
        </w:tc>
        <w:tc>
          <w:tcPr>
            <w:tcW w:w="8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本期工程核定排放总量</w:t>
            </w:r>
            <w:r>
              <w:rPr>
                <w:b/>
                <w:color w:val="000000"/>
                <w:sz w:val="15"/>
                <w:szCs w:val="15"/>
              </w:rPr>
              <w:t>(7)</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本期工程</w:t>
            </w:r>
            <w:r>
              <w:rPr>
                <w:b/>
                <w:color w:val="000000"/>
                <w:sz w:val="15"/>
                <w:szCs w:val="15"/>
              </w:rPr>
              <w:t>“</w:t>
            </w:r>
            <w:r>
              <w:rPr>
                <w:rFonts w:hint="eastAsia"/>
                <w:b/>
                <w:color w:val="000000"/>
                <w:sz w:val="15"/>
                <w:szCs w:val="15"/>
              </w:rPr>
              <w:t>以新带老</w:t>
            </w:r>
            <w:r>
              <w:rPr>
                <w:b/>
                <w:color w:val="000000"/>
                <w:sz w:val="15"/>
                <w:szCs w:val="15"/>
              </w:rPr>
              <w:t>”</w:t>
            </w:r>
            <w:r>
              <w:rPr>
                <w:rFonts w:hint="eastAsia"/>
                <w:b/>
                <w:color w:val="000000"/>
                <w:sz w:val="15"/>
                <w:szCs w:val="15"/>
              </w:rPr>
              <w:t>削减量</w:t>
            </w:r>
            <w:r>
              <w:rPr>
                <w:b/>
                <w:color w:val="000000"/>
                <w:sz w:val="15"/>
                <w:szCs w:val="15"/>
              </w:rPr>
              <w:t>(8)</w:t>
            </w:r>
          </w:p>
        </w:tc>
        <w:tc>
          <w:tcPr>
            <w:tcW w:w="81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全厂实际排放总量</w:t>
            </w:r>
            <w:r>
              <w:rPr>
                <w:b/>
                <w:color w:val="000000"/>
                <w:sz w:val="15"/>
                <w:szCs w:val="15"/>
              </w:rPr>
              <w:t>(9)</w:t>
            </w:r>
          </w:p>
        </w:tc>
        <w:tc>
          <w:tcPr>
            <w:tcW w:w="957"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全厂核定排放总量</w:t>
            </w:r>
            <w:r>
              <w:rPr>
                <w:b/>
                <w:color w:val="000000"/>
                <w:sz w:val="15"/>
                <w:szCs w:val="15"/>
              </w:rPr>
              <w:t>(10)</w:t>
            </w:r>
          </w:p>
        </w:tc>
        <w:tc>
          <w:tcPr>
            <w:tcW w:w="83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区域平衡替代削减量</w:t>
            </w:r>
            <w:r>
              <w:rPr>
                <w:b/>
                <w:color w:val="000000"/>
                <w:sz w:val="15"/>
                <w:szCs w:val="15"/>
              </w:rPr>
              <w:t>(11)</w:t>
            </w:r>
          </w:p>
        </w:tc>
        <w:tc>
          <w:tcPr>
            <w:tcW w:w="1619"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排放增减量</w:t>
            </w:r>
            <w:r>
              <w:rPr>
                <w:b/>
                <w:color w:val="000000"/>
                <w:sz w:val="15"/>
                <w:szCs w:val="15"/>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53" w:type="dxa"/>
            <w:gridSpan w:val="2"/>
            <w:vMerge w:val="continue"/>
            <w:tcBorders>
              <w:left w:val="single" w:color="auto" w:sz="8" w:space="0"/>
              <w:right w:val="single" w:color="auto" w:sz="4" w:space="0"/>
            </w:tcBorders>
            <w:vAlign w:val="center"/>
          </w:tcPr>
          <w:p>
            <w:pPr>
              <w:widowControl/>
              <w:jc w:val="left"/>
              <w:rPr>
                <w:rFonts w:eastAsia="黑体"/>
                <w:b/>
                <w:color w:val="000000"/>
                <w:spacing w:val="20"/>
                <w:sz w:val="15"/>
                <w:szCs w:val="15"/>
              </w:rPr>
            </w:pPr>
          </w:p>
        </w:tc>
        <w:tc>
          <w:tcPr>
            <w:tcW w:w="148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color w:val="000000"/>
                <w:sz w:val="15"/>
                <w:szCs w:val="15"/>
              </w:rPr>
            </w:pPr>
            <w:r>
              <w:rPr>
                <w:rFonts w:hint="eastAsia"/>
                <w:b/>
                <w:color w:val="000000"/>
                <w:sz w:val="15"/>
                <w:szCs w:val="15"/>
              </w:rPr>
              <w:t>废水</w:t>
            </w:r>
          </w:p>
        </w:tc>
        <w:tc>
          <w:tcPr>
            <w:tcW w:w="73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12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05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17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default" w:eastAsia="宋体"/>
                <w:b/>
                <w:color w:val="000000"/>
                <w:sz w:val="15"/>
                <w:szCs w:val="15"/>
                <w:lang w:val="en-US" w:eastAsia="zh-CN"/>
              </w:rPr>
            </w:pPr>
            <w:r>
              <w:rPr>
                <w:rFonts w:hint="eastAsia"/>
                <w:b/>
                <w:color w:val="000000"/>
                <w:sz w:val="15"/>
                <w:szCs w:val="15"/>
                <w:lang w:val="en-US" w:eastAsia="zh-CN"/>
              </w:rPr>
              <w:t>74116</w:t>
            </w:r>
          </w:p>
        </w:tc>
        <w:tc>
          <w:tcPr>
            <w:tcW w:w="92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eastAsia" w:eastAsia="宋体"/>
                <w:b/>
                <w:color w:val="000000"/>
                <w:sz w:val="15"/>
                <w:szCs w:val="15"/>
                <w:lang w:val="en-US" w:eastAsia="zh-CN"/>
              </w:rPr>
            </w:pPr>
            <w:r>
              <w:rPr>
                <w:rFonts w:hint="eastAsia"/>
                <w:b/>
                <w:color w:val="000000"/>
                <w:sz w:val="15"/>
                <w:szCs w:val="15"/>
                <w:lang w:val="en-US" w:eastAsia="zh-CN"/>
              </w:rPr>
              <w:t>0</w:t>
            </w:r>
          </w:p>
        </w:tc>
        <w:tc>
          <w:tcPr>
            <w:tcW w:w="113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default" w:eastAsia="宋体"/>
                <w:b/>
                <w:color w:val="000000"/>
                <w:sz w:val="15"/>
                <w:szCs w:val="15"/>
                <w:lang w:val="en-US" w:eastAsia="zh-CN"/>
              </w:rPr>
            </w:pPr>
            <w:r>
              <w:rPr>
                <w:rFonts w:hint="eastAsia"/>
                <w:b/>
                <w:color w:val="000000"/>
                <w:sz w:val="15"/>
                <w:szCs w:val="15"/>
                <w:lang w:val="en-US" w:eastAsia="zh-CN"/>
              </w:rPr>
              <w:t>74116</w:t>
            </w:r>
          </w:p>
        </w:tc>
        <w:tc>
          <w:tcPr>
            <w:tcW w:w="8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default" w:eastAsia="宋体"/>
                <w:b/>
                <w:color w:val="000000"/>
                <w:sz w:val="15"/>
                <w:szCs w:val="15"/>
                <w:lang w:val="en-US" w:eastAsia="zh-CN"/>
              </w:rPr>
            </w:pPr>
            <w:r>
              <w:rPr>
                <w:rFonts w:hint="eastAsia"/>
                <w:b/>
                <w:color w:val="000000"/>
                <w:sz w:val="15"/>
                <w:szCs w:val="15"/>
                <w:lang w:val="en-US" w:eastAsia="zh-CN"/>
              </w:rPr>
              <w:t>74116</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81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lang w:val="en-US" w:eastAsia="zh-CN"/>
              </w:rPr>
              <w:t>74116</w:t>
            </w:r>
          </w:p>
        </w:tc>
        <w:tc>
          <w:tcPr>
            <w:tcW w:w="957"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74117.84</w:t>
            </w:r>
          </w:p>
        </w:tc>
        <w:tc>
          <w:tcPr>
            <w:tcW w:w="83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619"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rFonts w:hint="default" w:eastAsia="宋体"/>
                <w:b/>
                <w:color w:val="000000"/>
                <w:sz w:val="15"/>
                <w:szCs w:val="15"/>
                <w:lang w:val="en-US" w:eastAsia="zh-CN"/>
              </w:rPr>
            </w:pPr>
            <w:r>
              <w:rPr>
                <w:rFonts w:hint="eastAsia"/>
                <w:b/>
                <w:color w:val="000000"/>
                <w:sz w:val="15"/>
                <w:szCs w:val="15"/>
                <w:lang w:val="en-US" w:eastAsia="zh-CN"/>
              </w:rPr>
              <w:t>-1.84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53" w:type="dxa"/>
            <w:gridSpan w:val="2"/>
            <w:vMerge w:val="continue"/>
            <w:tcBorders>
              <w:left w:val="single" w:color="auto" w:sz="8" w:space="0"/>
              <w:right w:val="single" w:color="auto" w:sz="4" w:space="0"/>
            </w:tcBorders>
            <w:vAlign w:val="center"/>
          </w:tcPr>
          <w:p>
            <w:pPr>
              <w:widowControl/>
              <w:jc w:val="left"/>
              <w:rPr>
                <w:rFonts w:eastAsia="黑体"/>
                <w:b/>
                <w:color w:val="000000"/>
                <w:spacing w:val="20"/>
                <w:sz w:val="15"/>
                <w:szCs w:val="15"/>
              </w:rPr>
            </w:pPr>
          </w:p>
        </w:tc>
        <w:tc>
          <w:tcPr>
            <w:tcW w:w="148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化学需氧量</w:t>
            </w:r>
          </w:p>
        </w:tc>
        <w:tc>
          <w:tcPr>
            <w:tcW w:w="73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12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05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17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eastAsia" w:eastAsia="宋体"/>
                <w:b/>
                <w:color w:val="000000"/>
                <w:sz w:val="15"/>
                <w:szCs w:val="15"/>
                <w:lang w:val="en-US" w:eastAsia="zh-CN"/>
              </w:rPr>
            </w:pPr>
            <w:r>
              <w:rPr>
                <w:rFonts w:hint="eastAsia"/>
                <w:b/>
                <w:color w:val="000000"/>
                <w:sz w:val="15"/>
                <w:szCs w:val="15"/>
                <w:lang w:val="en-US" w:eastAsia="zh-CN"/>
              </w:rPr>
              <w:t>/</w:t>
            </w:r>
          </w:p>
        </w:tc>
        <w:tc>
          <w:tcPr>
            <w:tcW w:w="92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eastAsia" w:eastAsia="宋体"/>
                <w:b/>
                <w:color w:val="000000"/>
                <w:sz w:val="15"/>
                <w:szCs w:val="15"/>
                <w:lang w:val="en-US" w:eastAsia="zh-CN"/>
              </w:rPr>
            </w:pPr>
            <w:r>
              <w:rPr>
                <w:rFonts w:hint="eastAsia"/>
                <w:b/>
                <w:color w:val="000000"/>
                <w:sz w:val="15"/>
                <w:szCs w:val="15"/>
                <w:lang w:val="en-US" w:eastAsia="zh-CN"/>
              </w:rPr>
              <w:t>/</w:t>
            </w:r>
          </w:p>
        </w:tc>
        <w:tc>
          <w:tcPr>
            <w:tcW w:w="113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default" w:eastAsia="宋体"/>
                <w:b/>
                <w:color w:val="000000"/>
                <w:sz w:val="15"/>
                <w:szCs w:val="15"/>
                <w:lang w:val="en-US" w:eastAsia="zh-CN"/>
              </w:rPr>
            </w:pPr>
            <w:r>
              <w:rPr>
                <w:rFonts w:hint="eastAsia"/>
                <w:b/>
                <w:color w:val="000000"/>
                <w:sz w:val="15"/>
                <w:szCs w:val="15"/>
                <w:lang w:val="en-US" w:eastAsia="zh-CN"/>
              </w:rPr>
              <w:t>2.965</w:t>
            </w:r>
          </w:p>
        </w:tc>
        <w:tc>
          <w:tcPr>
            <w:tcW w:w="8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lang w:val="en-US" w:eastAsia="zh-CN"/>
              </w:rPr>
              <w:t>2.965</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81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lang w:val="en-US" w:eastAsia="zh-CN"/>
              </w:rPr>
              <w:t>2.965</w:t>
            </w:r>
          </w:p>
        </w:tc>
        <w:tc>
          <w:tcPr>
            <w:tcW w:w="957"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2.965</w:t>
            </w:r>
          </w:p>
        </w:tc>
        <w:tc>
          <w:tcPr>
            <w:tcW w:w="83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619"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rFonts w:hint="default" w:eastAsia="宋体"/>
                <w:b/>
                <w:color w:val="000000"/>
                <w:sz w:val="15"/>
                <w:szCs w:val="15"/>
                <w:lang w:val="en-US" w:eastAsia="zh-CN"/>
              </w:rPr>
            </w:pPr>
            <w:r>
              <w:rPr>
                <w:rFonts w:hint="eastAsia"/>
                <w:b/>
                <w:color w:val="000000"/>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53" w:type="dxa"/>
            <w:gridSpan w:val="2"/>
            <w:vMerge w:val="continue"/>
            <w:tcBorders>
              <w:left w:val="single" w:color="auto" w:sz="8" w:space="0"/>
              <w:right w:val="single" w:color="auto" w:sz="4" w:space="0"/>
            </w:tcBorders>
            <w:vAlign w:val="center"/>
          </w:tcPr>
          <w:p>
            <w:pPr>
              <w:widowControl/>
              <w:jc w:val="left"/>
              <w:rPr>
                <w:rFonts w:eastAsia="黑体"/>
                <w:b/>
                <w:color w:val="000000"/>
                <w:spacing w:val="20"/>
                <w:sz w:val="15"/>
                <w:szCs w:val="15"/>
              </w:rPr>
            </w:pPr>
          </w:p>
        </w:tc>
        <w:tc>
          <w:tcPr>
            <w:tcW w:w="148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氨氮</w:t>
            </w:r>
          </w:p>
        </w:tc>
        <w:tc>
          <w:tcPr>
            <w:tcW w:w="73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12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05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17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eastAsia" w:eastAsia="宋体"/>
                <w:b/>
                <w:color w:val="000000"/>
                <w:sz w:val="15"/>
                <w:szCs w:val="15"/>
                <w:lang w:val="en-US" w:eastAsia="zh-CN"/>
              </w:rPr>
            </w:pPr>
            <w:r>
              <w:rPr>
                <w:rFonts w:hint="eastAsia"/>
                <w:b/>
                <w:color w:val="000000"/>
                <w:sz w:val="15"/>
                <w:szCs w:val="15"/>
                <w:lang w:val="en-US" w:eastAsia="zh-CN"/>
              </w:rPr>
              <w:t>/</w:t>
            </w:r>
          </w:p>
        </w:tc>
        <w:tc>
          <w:tcPr>
            <w:tcW w:w="92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eastAsia" w:eastAsia="宋体"/>
                <w:b/>
                <w:color w:val="000000"/>
                <w:sz w:val="15"/>
                <w:szCs w:val="15"/>
                <w:lang w:val="en-US" w:eastAsia="zh-CN"/>
              </w:rPr>
            </w:pPr>
            <w:r>
              <w:rPr>
                <w:rFonts w:hint="eastAsia"/>
                <w:b/>
                <w:color w:val="000000"/>
                <w:sz w:val="15"/>
                <w:szCs w:val="15"/>
                <w:lang w:val="en-US" w:eastAsia="zh-CN"/>
              </w:rPr>
              <w:t>/</w:t>
            </w:r>
          </w:p>
        </w:tc>
        <w:tc>
          <w:tcPr>
            <w:tcW w:w="113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rFonts w:hint="default" w:eastAsia="宋体"/>
                <w:b/>
                <w:color w:val="000000"/>
                <w:sz w:val="15"/>
                <w:szCs w:val="15"/>
                <w:lang w:val="en-US" w:eastAsia="zh-CN"/>
              </w:rPr>
            </w:pPr>
            <w:r>
              <w:rPr>
                <w:rFonts w:hint="eastAsia"/>
                <w:b/>
                <w:color w:val="000000"/>
                <w:sz w:val="15"/>
                <w:szCs w:val="15"/>
                <w:lang w:val="en-US" w:eastAsia="zh-CN"/>
              </w:rPr>
              <w:t>0.148</w:t>
            </w:r>
          </w:p>
        </w:tc>
        <w:tc>
          <w:tcPr>
            <w:tcW w:w="8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lang w:val="en-US" w:eastAsia="zh-CN"/>
              </w:rPr>
              <w:t>0.148</w:t>
            </w: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81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lang w:val="en-US" w:eastAsia="zh-CN"/>
              </w:rPr>
              <w:t>0.148</w:t>
            </w:r>
          </w:p>
        </w:tc>
        <w:tc>
          <w:tcPr>
            <w:tcW w:w="957"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0.148</w:t>
            </w:r>
          </w:p>
        </w:tc>
        <w:tc>
          <w:tcPr>
            <w:tcW w:w="83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b/>
                <w:color w:val="000000"/>
                <w:sz w:val="15"/>
                <w:szCs w:val="15"/>
              </w:rPr>
              <w:t>/</w:t>
            </w:r>
          </w:p>
        </w:tc>
        <w:tc>
          <w:tcPr>
            <w:tcW w:w="1619"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rFonts w:hint="default" w:eastAsia="宋体"/>
                <w:b/>
                <w:color w:val="000000"/>
                <w:sz w:val="15"/>
                <w:szCs w:val="15"/>
                <w:lang w:val="en-US" w:eastAsia="zh-CN"/>
              </w:rPr>
            </w:pPr>
            <w:r>
              <w:rPr>
                <w:rFonts w:hint="eastAsia"/>
                <w:b/>
                <w:color w:val="000000"/>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53" w:type="dxa"/>
            <w:gridSpan w:val="2"/>
            <w:vMerge w:val="continue"/>
            <w:tcBorders>
              <w:left w:val="single" w:color="auto" w:sz="8" w:space="0"/>
              <w:right w:val="single" w:color="auto" w:sz="4" w:space="0"/>
            </w:tcBorders>
            <w:vAlign w:val="center"/>
          </w:tcPr>
          <w:p>
            <w:pPr>
              <w:widowControl/>
              <w:jc w:val="left"/>
              <w:rPr>
                <w:rFonts w:eastAsia="黑体"/>
                <w:b/>
                <w:color w:val="000000"/>
                <w:spacing w:val="20"/>
                <w:sz w:val="15"/>
                <w:szCs w:val="15"/>
              </w:rPr>
            </w:pPr>
          </w:p>
        </w:tc>
        <w:tc>
          <w:tcPr>
            <w:tcW w:w="148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烟尘</w:t>
            </w:r>
          </w:p>
        </w:tc>
        <w:tc>
          <w:tcPr>
            <w:tcW w:w="73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12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05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17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92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13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1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957"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3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619"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53" w:type="dxa"/>
            <w:gridSpan w:val="2"/>
            <w:vMerge w:val="continue"/>
            <w:tcBorders>
              <w:left w:val="single" w:color="auto" w:sz="8" w:space="0"/>
              <w:right w:val="single" w:color="auto" w:sz="4" w:space="0"/>
            </w:tcBorders>
            <w:vAlign w:val="center"/>
          </w:tcPr>
          <w:p>
            <w:pPr>
              <w:widowControl/>
              <w:jc w:val="left"/>
              <w:rPr>
                <w:rFonts w:eastAsia="黑体"/>
                <w:b/>
                <w:color w:val="000000"/>
                <w:spacing w:val="20"/>
                <w:sz w:val="15"/>
                <w:szCs w:val="15"/>
              </w:rPr>
            </w:pPr>
          </w:p>
        </w:tc>
        <w:tc>
          <w:tcPr>
            <w:tcW w:w="148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SO2</w:t>
            </w:r>
          </w:p>
        </w:tc>
        <w:tc>
          <w:tcPr>
            <w:tcW w:w="73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12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05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17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92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13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1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957"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3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619"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53" w:type="dxa"/>
            <w:gridSpan w:val="2"/>
            <w:vMerge w:val="continue"/>
            <w:tcBorders>
              <w:left w:val="single" w:color="auto" w:sz="8" w:space="0"/>
              <w:right w:val="single" w:color="auto" w:sz="4" w:space="0"/>
            </w:tcBorders>
            <w:vAlign w:val="center"/>
          </w:tcPr>
          <w:p>
            <w:pPr>
              <w:widowControl/>
              <w:jc w:val="left"/>
              <w:rPr>
                <w:rFonts w:eastAsia="黑体"/>
                <w:b/>
                <w:color w:val="000000"/>
                <w:spacing w:val="20"/>
                <w:sz w:val="15"/>
                <w:szCs w:val="15"/>
              </w:rPr>
            </w:pPr>
          </w:p>
        </w:tc>
        <w:tc>
          <w:tcPr>
            <w:tcW w:w="148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NOx</w:t>
            </w:r>
          </w:p>
        </w:tc>
        <w:tc>
          <w:tcPr>
            <w:tcW w:w="73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12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05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17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92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13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1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957"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3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619"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53" w:type="dxa"/>
            <w:gridSpan w:val="2"/>
            <w:vMerge w:val="continue"/>
            <w:tcBorders>
              <w:left w:val="single" w:color="auto" w:sz="8" w:space="0"/>
              <w:bottom w:val="single" w:color="auto" w:sz="4" w:space="0"/>
              <w:right w:val="single" w:color="auto" w:sz="4" w:space="0"/>
            </w:tcBorders>
            <w:vAlign w:val="center"/>
          </w:tcPr>
          <w:p>
            <w:pPr>
              <w:widowControl/>
              <w:jc w:val="left"/>
              <w:rPr>
                <w:rFonts w:eastAsia="黑体"/>
                <w:b/>
                <w:color w:val="000000"/>
                <w:spacing w:val="20"/>
                <w:sz w:val="15"/>
                <w:szCs w:val="15"/>
              </w:rPr>
            </w:pPr>
          </w:p>
        </w:tc>
        <w:tc>
          <w:tcPr>
            <w:tcW w:w="148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rPr>
                <w:b/>
                <w:color w:val="000000"/>
                <w:sz w:val="15"/>
                <w:szCs w:val="15"/>
              </w:rPr>
            </w:pPr>
            <w:r>
              <w:rPr>
                <w:rFonts w:hint="eastAsia"/>
                <w:b/>
                <w:color w:val="000000"/>
                <w:sz w:val="15"/>
                <w:szCs w:val="15"/>
              </w:rPr>
              <w:t>VOCs</w:t>
            </w:r>
          </w:p>
        </w:tc>
        <w:tc>
          <w:tcPr>
            <w:tcW w:w="73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r>
              <w:rPr>
                <w:rFonts w:hint="eastAsia"/>
                <w:b/>
                <w:color w:val="000000"/>
                <w:sz w:val="15"/>
                <w:szCs w:val="15"/>
              </w:rPr>
              <w:t>0</w:t>
            </w:r>
          </w:p>
        </w:tc>
        <w:tc>
          <w:tcPr>
            <w:tcW w:w="1255"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05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17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921"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13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90"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2423"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16"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957"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839"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pPr>
              <w:spacing w:line="240" w:lineRule="atLeast"/>
              <w:jc w:val="center"/>
              <w:rPr>
                <w:b/>
                <w:color w:val="000000"/>
                <w:sz w:val="15"/>
                <w:szCs w:val="15"/>
              </w:rPr>
            </w:pPr>
          </w:p>
        </w:tc>
        <w:tc>
          <w:tcPr>
            <w:tcW w:w="1619"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pPr>
              <w:spacing w:line="240" w:lineRule="atLeast"/>
              <w:jc w:val="center"/>
              <w:rPr>
                <w:b/>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6050" w:type="dxa"/>
            <w:gridSpan w:val="17"/>
            <w:tcBorders>
              <w:top w:val="single" w:color="auto" w:sz="4" w:space="0"/>
              <w:left w:val="single" w:color="auto" w:sz="8" w:space="0"/>
              <w:bottom w:val="single" w:color="auto" w:sz="8" w:space="0"/>
              <w:right w:val="single" w:color="auto" w:sz="8" w:space="0"/>
            </w:tcBorders>
            <w:vAlign w:val="center"/>
          </w:tcPr>
          <w:p>
            <w:pPr>
              <w:spacing w:line="240" w:lineRule="atLeast"/>
              <w:jc w:val="center"/>
              <w:rPr>
                <w:b/>
                <w:color w:val="000000"/>
                <w:sz w:val="15"/>
                <w:szCs w:val="15"/>
              </w:rPr>
            </w:pPr>
            <w:r>
              <w:rPr>
                <w:rFonts w:hint="eastAsia"/>
                <w:b/>
                <w:color w:val="000000"/>
                <w:sz w:val="15"/>
                <w:szCs w:val="15"/>
              </w:rPr>
              <w:t>注：①</w:t>
            </w:r>
            <w:r>
              <w:rPr>
                <w:b/>
                <w:color w:val="000000"/>
                <w:sz w:val="15"/>
                <w:szCs w:val="15"/>
              </w:rPr>
              <w:t>COD</w:t>
            </w:r>
            <w:r>
              <w:rPr>
                <w:b/>
                <w:color w:val="000000"/>
                <w:sz w:val="15"/>
                <w:szCs w:val="15"/>
                <w:vertAlign w:val="subscript"/>
              </w:rPr>
              <w:t>Cr</w:t>
            </w:r>
            <w:r>
              <w:rPr>
                <w:rFonts w:hint="eastAsia"/>
                <w:b/>
                <w:color w:val="000000"/>
                <w:sz w:val="15"/>
                <w:szCs w:val="15"/>
              </w:rPr>
              <w:t>、</w:t>
            </w:r>
            <w:r>
              <w:rPr>
                <w:b/>
                <w:color w:val="000000"/>
                <w:sz w:val="15"/>
                <w:szCs w:val="15"/>
              </w:rPr>
              <w:t>NH</w:t>
            </w:r>
            <w:r>
              <w:rPr>
                <w:b/>
                <w:color w:val="000000"/>
                <w:sz w:val="15"/>
                <w:szCs w:val="15"/>
                <w:vertAlign w:val="subscript"/>
              </w:rPr>
              <w:t>3</w:t>
            </w:r>
            <w:r>
              <w:rPr>
                <w:b/>
                <w:color w:val="000000"/>
                <w:sz w:val="15"/>
                <w:szCs w:val="15"/>
              </w:rPr>
              <w:t>-N</w:t>
            </w:r>
            <w:r>
              <w:rPr>
                <w:rFonts w:hint="eastAsia"/>
                <w:b/>
                <w:color w:val="000000"/>
                <w:sz w:val="15"/>
                <w:szCs w:val="15"/>
              </w:rPr>
              <w:t>、总氮、总磷排放量计算，根据《城镇污水处理厂主要水污染物排放标准》（</w:t>
            </w:r>
            <w:r>
              <w:rPr>
                <w:b/>
                <w:color w:val="000000"/>
                <w:sz w:val="15"/>
                <w:szCs w:val="15"/>
              </w:rPr>
              <w:t>DB33/2169-2018</w:t>
            </w:r>
            <w:r>
              <w:rPr>
                <w:rFonts w:hint="eastAsia"/>
                <w:b/>
                <w:color w:val="000000"/>
                <w:sz w:val="15"/>
                <w:szCs w:val="15"/>
              </w:rPr>
              <w:t>）中表</w:t>
            </w:r>
            <w:r>
              <w:rPr>
                <w:b/>
                <w:color w:val="000000"/>
                <w:sz w:val="15"/>
                <w:szCs w:val="15"/>
              </w:rPr>
              <w:t>1</w:t>
            </w:r>
            <w:r>
              <w:rPr>
                <w:rFonts w:hint="eastAsia"/>
                <w:b/>
                <w:color w:val="000000"/>
                <w:sz w:val="15"/>
                <w:szCs w:val="15"/>
              </w:rPr>
              <w:t>现有城镇污水处理厂主要污染物排放限值，分别取</w:t>
            </w:r>
            <w:r>
              <w:rPr>
                <w:b/>
                <w:color w:val="000000"/>
                <w:sz w:val="15"/>
                <w:szCs w:val="15"/>
              </w:rPr>
              <w:t>COD</w:t>
            </w:r>
            <w:r>
              <w:rPr>
                <w:b/>
                <w:color w:val="000000"/>
                <w:sz w:val="15"/>
                <w:szCs w:val="15"/>
                <w:vertAlign w:val="subscript"/>
              </w:rPr>
              <w:t>Cr</w:t>
            </w:r>
            <w:r>
              <w:rPr>
                <w:rFonts w:hint="eastAsia"/>
                <w:b/>
                <w:color w:val="000000"/>
                <w:sz w:val="15"/>
                <w:szCs w:val="15"/>
              </w:rPr>
              <w:t>40</w:t>
            </w:r>
            <w:r>
              <w:rPr>
                <w:b/>
                <w:color w:val="000000"/>
                <w:sz w:val="15"/>
                <w:szCs w:val="15"/>
              </w:rPr>
              <w:t>mg/L</w:t>
            </w:r>
            <w:r>
              <w:rPr>
                <w:rFonts w:hint="eastAsia"/>
                <w:b/>
                <w:color w:val="000000"/>
                <w:sz w:val="15"/>
                <w:szCs w:val="15"/>
              </w:rPr>
              <w:t>、</w:t>
            </w:r>
            <w:r>
              <w:rPr>
                <w:b/>
                <w:color w:val="000000"/>
                <w:sz w:val="15"/>
                <w:szCs w:val="15"/>
              </w:rPr>
              <w:t>NH</w:t>
            </w:r>
            <w:r>
              <w:rPr>
                <w:b/>
                <w:color w:val="000000"/>
                <w:sz w:val="15"/>
                <w:szCs w:val="15"/>
                <w:vertAlign w:val="subscript"/>
              </w:rPr>
              <w:t>3</w:t>
            </w:r>
            <w:r>
              <w:rPr>
                <w:b/>
                <w:color w:val="000000"/>
                <w:sz w:val="15"/>
                <w:szCs w:val="15"/>
              </w:rPr>
              <w:t>-N</w:t>
            </w:r>
            <w:r>
              <w:rPr>
                <w:rFonts w:hint="eastAsia"/>
                <w:b/>
                <w:color w:val="000000"/>
                <w:sz w:val="15"/>
                <w:szCs w:val="15"/>
              </w:rPr>
              <w:t>2</w:t>
            </w:r>
            <w:r>
              <w:rPr>
                <w:b/>
                <w:color w:val="000000"/>
                <w:sz w:val="15"/>
                <w:szCs w:val="15"/>
              </w:rPr>
              <w:t>mg/L</w:t>
            </w:r>
          </w:p>
        </w:tc>
      </w:tr>
    </w:tbl>
    <w:p/>
    <w:p>
      <w:pPr>
        <w:jc w:val="center"/>
        <w:sectPr>
          <w:pgSz w:w="16838" w:h="11906" w:orient="landscape"/>
          <w:pgMar w:top="1797" w:right="1440" w:bottom="1797" w:left="1440" w:header="851" w:footer="992" w:gutter="0"/>
          <w:cols w:space="425" w:num="1"/>
          <w:docGrid w:type="linesAndChars" w:linePitch="312" w:charSpace="0"/>
        </w:sectPr>
      </w:pPr>
    </w:p>
    <w:p>
      <w:pPr>
        <w:pStyle w:val="13"/>
        <w:spacing w:line="360" w:lineRule="auto"/>
        <w:ind w:firstLine="545"/>
        <w:jc w:val="center"/>
        <w:outlineLvl w:val="0"/>
        <w:rPr>
          <w:rFonts w:ascii="宋体" w:cs="Arial"/>
          <w:b/>
          <w:sz w:val="48"/>
          <w:szCs w:val="28"/>
        </w:rPr>
      </w:pPr>
      <w:r>
        <w:rPr>
          <w:rFonts w:hint="eastAsia" w:ascii="宋体" w:cs="Arial"/>
          <w:b/>
          <w:sz w:val="48"/>
          <w:szCs w:val="28"/>
        </w:rPr>
        <w:t>第二部分：验收意见及签到单</w:t>
      </w:r>
    </w:p>
    <w:p>
      <w:pPr>
        <w:spacing w:line="200" w:lineRule="exact"/>
        <w:jc w:val="left"/>
        <w:rPr>
          <w:rFonts w:ascii="Arial" w:hAnsi="Arial" w:cs="Arial"/>
          <w:sz w:val="24"/>
        </w:rPr>
      </w:pPr>
    </w:p>
    <w:p>
      <w:pPr>
        <w:pStyle w:val="14"/>
        <w:ind w:left="480" w:leftChars="0"/>
      </w:pPr>
    </w:p>
    <w:p>
      <w:pPr>
        <w:spacing w:beforeAutospacing="1" w:afterAutospacing="1"/>
        <w:jc w:val="left"/>
        <w:sectPr>
          <w:pgSz w:w="11906" w:h="16838"/>
          <w:pgMar w:top="1440" w:right="1361" w:bottom="1440" w:left="1361" w:header="709" w:footer="709" w:gutter="0"/>
          <w:pgNumType w:fmt="numberInDash"/>
          <w:cols w:space="720" w:num="1"/>
        </w:sectPr>
      </w:pPr>
    </w:p>
    <w:p>
      <w:pPr>
        <w:jc w:val="center"/>
        <w:rPr>
          <w:rFonts w:ascii="Arial" w:hAnsi="Arial" w:cs="Arial"/>
          <w:b/>
          <w:bCs/>
          <w:sz w:val="44"/>
          <w:szCs w:val="44"/>
        </w:rPr>
      </w:pPr>
      <w:bookmarkStart w:id="54" w:name="_Hlk143277344"/>
      <w:r>
        <w:rPr>
          <w:rFonts w:hint="eastAsia" w:ascii="Arial" w:hAnsi="Arial" w:cs="Arial"/>
          <w:b/>
          <w:bCs/>
          <w:sz w:val="44"/>
          <w:szCs w:val="44"/>
        </w:rPr>
        <w:t>杭州市临平区教育资产营运管理中心</w:t>
      </w:r>
    </w:p>
    <w:p>
      <w:pPr>
        <w:jc w:val="center"/>
        <w:rPr>
          <w:rFonts w:ascii="Arial" w:hAnsi="Arial" w:eastAsia="华文宋体" w:cs="Arial"/>
          <w:b/>
          <w:sz w:val="44"/>
          <w:szCs w:val="44"/>
        </w:rPr>
      </w:pPr>
      <w:r>
        <w:rPr>
          <w:rFonts w:hint="eastAsia" w:ascii="Arial" w:hAnsi="Arial" w:cs="Arial"/>
          <w:b/>
          <w:bCs/>
          <w:sz w:val="44"/>
          <w:szCs w:val="44"/>
        </w:rPr>
        <w:t>余杭区星桥九年一贯制学校项目竣工环境保护</w:t>
      </w:r>
      <w:r>
        <w:rPr>
          <w:rFonts w:hint="eastAsia" w:ascii="Arial" w:hAnsi="Arial" w:eastAsia="华文宋体" w:cs="Arial"/>
          <w:b/>
          <w:sz w:val="44"/>
          <w:szCs w:val="44"/>
        </w:rPr>
        <w:t>验收意见</w:t>
      </w:r>
    </w:p>
    <w:p>
      <w:pPr>
        <w:pStyle w:val="87"/>
        <w:rPr>
          <w:bCs/>
        </w:rPr>
      </w:pPr>
      <w:r>
        <w:t>2024年5月1</w:t>
      </w:r>
      <w:r>
        <w:rPr>
          <w:rFonts w:hint="eastAsia"/>
        </w:rPr>
        <w:t>6</w:t>
      </w:r>
      <w:r>
        <w:t>日，</w:t>
      </w:r>
      <w:bookmarkStart w:id="55" w:name="_Hlk160695850"/>
      <w:r>
        <w:rPr>
          <w:rFonts w:hAnsiTheme="minorHAnsi"/>
          <w:bCs/>
        </w:rPr>
        <w:t>杭州市临平区教育资产营运管理中心</w:t>
      </w:r>
      <w:r>
        <w:t>根据《</w:t>
      </w:r>
      <w:bookmarkEnd w:id="55"/>
      <w:r>
        <w:rPr>
          <w:bCs/>
        </w:rPr>
        <w:t>杭州市临平区教育资产营运管理中心余杭区星桥九年一贯制学校项目竣工环境保护验收监测报告表</w:t>
      </w:r>
      <w:r>
        <w:t>》，并对照《建设项目竣工环境保护验收暂行办法》，严格依照国家有关法律法规、建设项目竣工环境保护验收技术指南、项目环境影响报告表以及审批部门审批决定等要求对本项目环境保护设施进行竣工验收。参加会议的单位有：</w:t>
      </w:r>
      <w:r>
        <w:rPr>
          <w:rFonts w:hAnsiTheme="minorHAnsi"/>
          <w:bCs/>
        </w:rPr>
        <w:t>杭州市临平区教育资产营运管理中心</w:t>
      </w:r>
      <w:r>
        <w:t>（建设单位）、杭州中环检测有限公司（验收监测单位），成立了验收工作组（验收组名单附后）。验收组与会人员现场检查了该项目环保设施的建设和运行情况，听取了建设单位关于该项目的环保执行情况介绍及竣工环境保护验收监测报告表的汇报，经认真讨论形成验收意见如下：</w:t>
      </w:r>
    </w:p>
    <w:p>
      <w:pPr>
        <w:pStyle w:val="70"/>
        <w:autoSpaceDE w:val="0"/>
        <w:autoSpaceDN w:val="0"/>
        <w:adjustRightInd w:val="0"/>
        <w:ind w:firstLine="482"/>
        <w:jc w:val="left"/>
        <w:outlineLvl w:val="0"/>
        <w:rPr>
          <w:rFonts w:ascii="Arial" w:hAnsi="Arial" w:cs="Arial"/>
          <w:b/>
          <w:sz w:val="24"/>
          <w:szCs w:val="24"/>
        </w:rPr>
      </w:pPr>
      <w:r>
        <w:rPr>
          <w:rFonts w:hint="eastAsia" w:ascii="Arial" w:hAnsi="Arial" w:cs="Arial"/>
          <w:b/>
          <w:sz w:val="24"/>
          <w:szCs w:val="24"/>
        </w:rPr>
        <w:t>一、工程建设基本情况</w:t>
      </w:r>
    </w:p>
    <w:p>
      <w:pPr>
        <w:pStyle w:val="87"/>
      </w:pPr>
      <w:r>
        <w:rPr>
          <w:rFonts w:hint="eastAsia"/>
        </w:rPr>
        <w:t>（一）建设地点、规模、主要建设内容</w:t>
      </w:r>
    </w:p>
    <w:p>
      <w:pPr>
        <w:pStyle w:val="87"/>
      </w:pPr>
      <w:r>
        <w:rPr>
          <w:rFonts w:hint="eastAsia"/>
        </w:rPr>
        <w:t>项目属新建工程，</w:t>
      </w:r>
      <w:r>
        <w:rPr>
          <w:rFonts w:hAnsi="Arial"/>
          <w:highlight w:val="yellow"/>
        </w:rPr>
        <w:t>位于杭州市</w:t>
      </w:r>
      <w:r>
        <w:rPr>
          <w:rFonts w:hint="eastAsia" w:hAnsi="Arial"/>
          <w:highlight w:val="yellow"/>
        </w:rPr>
        <w:t>临平</w:t>
      </w:r>
      <w:r>
        <w:rPr>
          <w:rFonts w:hAnsi="Arial"/>
          <w:highlight w:val="yellow"/>
        </w:rPr>
        <w:t>区</w:t>
      </w:r>
      <w:r>
        <w:rPr>
          <w:rFonts w:hint="eastAsia" w:hAnsi="Arial"/>
          <w:highlight w:val="yellow"/>
        </w:rPr>
        <w:t>临丁路66号</w:t>
      </w:r>
      <w:r>
        <w:rPr>
          <w:rFonts w:hint="eastAsia"/>
          <w:highlight w:val="yellow"/>
        </w:rPr>
        <w:t>，</w:t>
      </w:r>
      <w:r>
        <w:rPr>
          <w:rFonts w:hint="eastAsia"/>
        </w:rPr>
        <w:t>用地面积67588平方米，</w:t>
      </w:r>
      <w:r>
        <w:t>建设1幢小学教学楼（含实验室、图书馆、多功能厅）、1幢初中教学楼（含实验室、综合楼、行政办公楼、阶梯教室）、1幢体育馆（含室内游泳池）、1个田径场、2个运动场、1个食堂</w:t>
      </w:r>
      <w:r>
        <w:rPr>
          <w:rFonts w:hint="eastAsia"/>
        </w:rPr>
        <w:t>，工程总投资45500万元。</w:t>
      </w:r>
    </w:p>
    <w:p>
      <w:pPr>
        <w:pStyle w:val="87"/>
        <w:rPr>
          <w:rFonts w:cs="Arial"/>
        </w:rPr>
      </w:pPr>
      <w:r>
        <w:rPr>
          <w:rFonts w:hint="eastAsia" w:cs="Arial"/>
        </w:rPr>
        <w:t>环评批复总建筑面积约</w:t>
      </w:r>
      <w:r>
        <w:rPr>
          <w:rFonts w:hint="eastAsia"/>
        </w:rPr>
        <w:t>65372.67</w:t>
      </w:r>
      <w:r>
        <w:rPr>
          <w:rFonts w:hAnsi="Arial"/>
        </w:rPr>
        <w:t>平方米，其中地上建筑面积约为</w:t>
      </w:r>
      <w:r>
        <w:rPr>
          <w:rFonts w:hint="eastAsia"/>
        </w:rPr>
        <w:t>49369.95</w:t>
      </w:r>
      <w:r>
        <w:rPr>
          <w:rFonts w:hAnsi="Arial"/>
        </w:rPr>
        <w:t>平方米，地下建筑面积为</w:t>
      </w:r>
      <w:r>
        <w:rPr>
          <w:rFonts w:hint="eastAsia"/>
        </w:rPr>
        <w:t>16002.72</w:t>
      </w:r>
      <w:r>
        <w:rPr>
          <w:rFonts w:hAnsi="Arial"/>
        </w:rPr>
        <w:t>平方米</w:t>
      </w:r>
      <w:r>
        <w:rPr>
          <w:rFonts w:hint="eastAsia" w:cs="Arial"/>
        </w:rPr>
        <w:t>，项目实际用地面积不变，</w:t>
      </w:r>
      <w:r>
        <w:rPr>
          <w:rFonts w:hAnsi="Arial"/>
        </w:rPr>
        <w:t>总建筑面积</w:t>
      </w:r>
      <w:r>
        <w:rPr>
          <w:rFonts w:hint="eastAsia"/>
        </w:rPr>
        <w:t>65947.65</w:t>
      </w:r>
      <w:r>
        <w:rPr>
          <w:rFonts w:hAnsi="Arial"/>
        </w:rPr>
        <w:t>平方米，与环评审批的面积相比增加了</w:t>
      </w:r>
      <w:r>
        <w:rPr>
          <w:rFonts w:hint="eastAsia"/>
        </w:rPr>
        <w:t>574.98</w:t>
      </w:r>
      <w:r>
        <w:rPr>
          <w:rFonts w:hAnsi="Arial"/>
        </w:rPr>
        <w:t>平方米，占审批总建筑面积的</w:t>
      </w:r>
      <w:r>
        <w:rPr>
          <w:rFonts w:hint="eastAsia"/>
        </w:rPr>
        <w:t>0.88</w:t>
      </w:r>
      <w:r>
        <w:t>%</w:t>
      </w:r>
      <w:r>
        <w:rPr>
          <w:rFonts w:hint="eastAsia" w:cs="Arial"/>
        </w:rPr>
        <w:t>，增加面积不到审批面积的</w:t>
      </w:r>
      <w:r>
        <w:rPr>
          <w:rFonts w:cs="Arial"/>
        </w:rPr>
        <w:t>10%</w:t>
      </w:r>
      <w:r>
        <w:rPr>
          <w:rFonts w:hint="eastAsia" w:cs="Arial"/>
        </w:rPr>
        <w:t>，各功能分类经济技术指标存在部分变动，不属于重大变动，符合竣工环境保护验收条件。</w:t>
      </w:r>
    </w:p>
    <w:p>
      <w:pPr>
        <w:pStyle w:val="87"/>
      </w:pPr>
      <w:r>
        <w:rPr>
          <w:rFonts w:hint="eastAsia"/>
        </w:rPr>
        <w:t>（二）建设过程及环保审批情况</w:t>
      </w:r>
    </w:p>
    <w:p>
      <w:pPr>
        <w:pStyle w:val="87"/>
        <w:rPr>
          <w:rFonts w:cs="Arial"/>
        </w:rPr>
      </w:pPr>
      <w:r>
        <w:rPr>
          <w:rFonts w:ascii="Times New Roman" w:hAnsi="Arial"/>
          <w:sz w:val="24"/>
          <w:highlight w:val="yellow"/>
        </w:rPr>
        <w:t>原</w:t>
      </w:r>
      <w:r>
        <w:rPr>
          <w:rFonts w:ascii="Times New Roman" w:hAnsi="Arial"/>
          <w:bCs/>
          <w:sz w:val="24"/>
          <w:highlight w:val="yellow"/>
        </w:rPr>
        <w:t>杭州市</w:t>
      </w:r>
      <w:r>
        <w:rPr>
          <w:rFonts w:hint="eastAsia" w:ascii="Times New Roman" w:hAnsi="Arial"/>
          <w:bCs/>
          <w:sz w:val="24"/>
          <w:highlight w:val="yellow"/>
        </w:rPr>
        <w:t>余杭</w:t>
      </w:r>
      <w:r>
        <w:rPr>
          <w:rFonts w:ascii="Times New Roman" w:hAnsi="Arial"/>
          <w:bCs/>
          <w:sz w:val="24"/>
          <w:highlight w:val="yellow"/>
        </w:rPr>
        <w:t>区教育资产营运管理中心</w:t>
      </w:r>
      <w:r>
        <w:t>委托煤科集团杭州环保研究院有限公司编制的《</w:t>
      </w:r>
      <w:r>
        <w:rPr>
          <w:bCs/>
        </w:rPr>
        <w:t>余杭区星桥九年一贯制学校项目</w:t>
      </w:r>
      <w:r>
        <w:t>环境影响报告表》</w:t>
      </w:r>
      <w:r>
        <w:rPr>
          <w:rFonts w:hint="eastAsia" w:cs="Arial"/>
        </w:rPr>
        <w:t>，</w:t>
      </w:r>
      <w:r>
        <w:rPr>
          <w:rFonts w:cs="Arial"/>
        </w:rPr>
        <w:t>201</w:t>
      </w:r>
      <w:r>
        <w:rPr>
          <w:rFonts w:hint="eastAsia" w:cs="Arial"/>
        </w:rPr>
        <w:t>8年</w:t>
      </w:r>
      <w:r>
        <w:rPr>
          <w:rFonts w:hint="eastAsia" w:ascii="Times New Roman" w:hAnsi="Arial"/>
          <w:sz w:val="24"/>
          <w:highlight w:val="yellow"/>
        </w:rPr>
        <w:t>原</w:t>
      </w:r>
      <w:r>
        <w:rPr>
          <w:rFonts w:ascii="Times New Roman" w:hAnsi="Arial"/>
          <w:sz w:val="24"/>
          <w:highlight w:val="yellow"/>
        </w:rPr>
        <w:t>杭州市</w:t>
      </w:r>
      <w:r>
        <w:rPr>
          <w:rFonts w:hint="eastAsia" w:ascii="Times New Roman" w:hAnsi="Arial"/>
          <w:sz w:val="24"/>
          <w:highlight w:val="yellow"/>
        </w:rPr>
        <w:t>余杭</w:t>
      </w:r>
      <w:r>
        <w:rPr>
          <w:rFonts w:hint="eastAsia" w:ascii="Times New Roman" w:hAnsi="Arial"/>
          <w:sz w:val="24"/>
          <w:highlight w:val="yellow"/>
          <w:lang w:val="en-US" w:eastAsia="zh-CN"/>
        </w:rPr>
        <w:t>区</w:t>
      </w:r>
      <w:r>
        <w:rPr>
          <w:rFonts w:ascii="Times New Roman" w:hAnsi="Arial"/>
          <w:sz w:val="24"/>
          <w:highlight w:val="yellow"/>
        </w:rPr>
        <w:t>环境保护局</w:t>
      </w:r>
      <w:r>
        <w:rPr>
          <w:rFonts w:hint="eastAsia" w:cs="Arial"/>
        </w:rPr>
        <w:t>以</w:t>
      </w:r>
      <w:r>
        <w:t>环评批复〔2018〕256号</w:t>
      </w:r>
      <w:r>
        <w:rPr>
          <w:rFonts w:hint="eastAsia" w:cs="Arial"/>
        </w:rPr>
        <w:t>文对项目环评报告表进行了批复。</w:t>
      </w:r>
    </w:p>
    <w:p>
      <w:pPr>
        <w:pStyle w:val="87"/>
      </w:pPr>
      <w:r>
        <w:rPr>
          <w:rFonts w:hint="eastAsia"/>
        </w:rPr>
        <w:t>建设项目自</w:t>
      </w:r>
      <w:r>
        <w:t>201</w:t>
      </w:r>
      <w:r>
        <w:rPr>
          <w:rFonts w:hint="eastAsia"/>
        </w:rPr>
        <w:t>8年10月开工建设，</w:t>
      </w:r>
      <w:r>
        <w:rPr>
          <w:color w:val="FF0000"/>
        </w:rPr>
        <w:t>202</w:t>
      </w:r>
      <w:r>
        <w:rPr>
          <w:rFonts w:hint="eastAsia"/>
          <w:color w:val="FF0000"/>
          <w:lang w:val="en-US" w:eastAsia="zh-CN"/>
        </w:rPr>
        <w:t>0</w:t>
      </w:r>
      <w:r>
        <w:rPr>
          <w:rFonts w:hint="eastAsia"/>
          <w:color w:val="FF0000"/>
        </w:rPr>
        <w:t>年</w:t>
      </w:r>
      <w:r>
        <w:rPr>
          <w:rFonts w:hint="eastAsia"/>
          <w:color w:val="FF0000"/>
          <w:lang w:val="en-US" w:eastAsia="zh-CN"/>
        </w:rPr>
        <w:t>6</w:t>
      </w:r>
      <w:r>
        <w:rPr>
          <w:rFonts w:hint="eastAsia"/>
          <w:color w:val="FF0000"/>
        </w:rPr>
        <w:t>月竣工</w:t>
      </w:r>
      <w:r>
        <w:rPr>
          <w:rFonts w:hint="eastAsia"/>
        </w:rPr>
        <w:t>，目前学校配套的环保设施运行基本正常。</w:t>
      </w:r>
    </w:p>
    <w:p>
      <w:pPr>
        <w:pStyle w:val="87"/>
      </w:pPr>
      <w:r>
        <w:rPr>
          <w:rFonts w:hint="eastAsia"/>
        </w:rPr>
        <w:t>（三）投资情况</w:t>
      </w:r>
    </w:p>
    <w:p>
      <w:pPr>
        <w:pStyle w:val="87"/>
      </w:pPr>
      <w:r>
        <w:rPr>
          <w:rFonts w:hAnsi="Arial"/>
          <w:bCs/>
        </w:rPr>
        <w:t>杭州市</w:t>
      </w:r>
      <w:r>
        <w:rPr>
          <w:rFonts w:hint="eastAsia" w:hAnsi="Arial"/>
          <w:bCs/>
        </w:rPr>
        <w:t>临平</w:t>
      </w:r>
      <w:r>
        <w:rPr>
          <w:rFonts w:hAnsi="Arial"/>
          <w:bCs/>
        </w:rPr>
        <w:t>区教育资产营运管理中心余杭区星桥九年一贯制学校</w:t>
      </w:r>
      <w:r>
        <w:rPr>
          <w:rFonts w:hint="eastAsia"/>
        </w:rPr>
        <w:t>项目实际总投资45500万元，其中实际环保投资310万元。</w:t>
      </w:r>
    </w:p>
    <w:p>
      <w:pPr>
        <w:pStyle w:val="87"/>
      </w:pPr>
      <w:r>
        <w:rPr>
          <w:rFonts w:hint="eastAsia"/>
        </w:rPr>
        <w:t>（四）验收范围</w:t>
      </w:r>
    </w:p>
    <w:p>
      <w:pPr>
        <w:pStyle w:val="87"/>
      </w:pPr>
      <w:r>
        <w:rPr>
          <w:rFonts w:hint="eastAsia"/>
        </w:rPr>
        <w:t>本次验收为项目整体竣工环境保护验收，验收范围及内容为建设项目的主要工程内容、污染防治措施、达标可行性等与原环评申报内容及环评批复的相符性。</w:t>
      </w:r>
    </w:p>
    <w:p>
      <w:pPr>
        <w:pStyle w:val="70"/>
        <w:autoSpaceDE w:val="0"/>
        <w:autoSpaceDN w:val="0"/>
        <w:adjustRightInd w:val="0"/>
        <w:ind w:firstLine="482"/>
        <w:jc w:val="left"/>
        <w:outlineLvl w:val="0"/>
        <w:rPr>
          <w:rFonts w:ascii="Arial" w:hAnsi="Arial" w:cs="Arial"/>
          <w:b/>
          <w:sz w:val="24"/>
          <w:szCs w:val="24"/>
        </w:rPr>
      </w:pPr>
      <w:r>
        <w:rPr>
          <w:rFonts w:hint="eastAsia" w:ascii="Arial" w:hAnsi="Arial" w:cs="Arial"/>
          <w:b/>
          <w:sz w:val="24"/>
          <w:szCs w:val="24"/>
        </w:rPr>
        <w:t>二、工程变动情况</w:t>
      </w:r>
    </w:p>
    <w:p>
      <w:pPr>
        <w:pStyle w:val="70"/>
        <w:autoSpaceDE w:val="0"/>
        <w:autoSpaceDN w:val="0"/>
        <w:adjustRightInd w:val="0"/>
        <w:ind w:firstLine="480"/>
        <w:jc w:val="left"/>
        <w:outlineLvl w:val="0"/>
        <w:rPr>
          <w:rFonts w:cs="Times New Roman"/>
          <w:b/>
          <w:sz w:val="24"/>
          <w:szCs w:val="24"/>
        </w:rPr>
      </w:pPr>
      <w:r>
        <w:rPr>
          <w:rFonts w:hAnsi="Arial" w:cs="Times New Roman"/>
          <w:sz w:val="24"/>
          <w:szCs w:val="24"/>
        </w:rPr>
        <w:t>建设项目实际建设地点、建设内容与环评及批复基本一致，经济技术指标、设备、污染处理设施有所调整，总建筑面积增加</w:t>
      </w:r>
      <w:r>
        <w:rPr>
          <w:rFonts w:hint="eastAsia" w:cs="Times New Roman"/>
          <w:sz w:val="24"/>
          <w:szCs w:val="24"/>
        </w:rPr>
        <w:t>574.98</w:t>
      </w:r>
      <w:r>
        <w:rPr>
          <w:rFonts w:hAnsi="Arial" w:cs="Times New Roman"/>
          <w:sz w:val="24"/>
          <w:szCs w:val="24"/>
        </w:rPr>
        <w:t>平方米，仅占审批总建筑面积的</w:t>
      </w:r>
      <w:r>
        <w:rPr>
          <w:rFonts w:hint="eastAsia" w:cs="Times New Roman"/>
          <w:sz w:val="24"/>
          <w:szCs w:val="24"/>
        </w:rPr>
        <w:t>0.88</w:t>
      </w:r>
      <w:r>
        <w:rPr>
          <w:rFonts w:cs="Times New Roman"/>
          <w:sz w:val="24"/>
          <w:szCs w:val="24"/>
        </w:rPr>
        <w:t>%</w:t>
      </w:r>
      <w:r>
        <w:rPr>
          <w:rFonts w:hAnsi="Arial" w:cs="Times New Roman"/>
          <w:sz w:val="24"/>
          <w:szCs w:val="24"/>
        </w:rPr>
        <w:t>。</w:t>
      </w:r>
    </w:p>
    <w:p>
      <w:pPr>
        <w:snapToGrid w:val="0"/>
        <w:spacing w:line="360" w:lineRule="auto"/>
        <w:ind w:firstLine="480" w:firstLineChars="200"/>
        <w:rPr>
          <w:rFonts w:ascii="Times New Roman" w:hAnsi="Times New Roman"/>
          <w:sz w:val="24"/>
        </w:rPr>
      </w:pPr>
      <w:r>
        <w:rPr>
          <w:rFonts w:ascii="Times New Roman" w:hAnsi="Arial"/>
          <w:sz w:val="24"/>
        </w:rPr>
        <w:t>（</w:t>
      </w:r>
      <w:r>
        <w:rPr>
          <w:rFonts w:ascii="Times New Roman" w:hAnsi="Times New Roman"/>
          <w:sz w:val="24"/>
        </w:rPr>
        <w:t>1</w:t>
      </w:r>
      <w:r>
        <w:rPr>
          <w:rFonts w:ascii="Times New Roman" w:hAnsi="Arial"/>
          <w:sz w:val="24"/>
        </w:rPr>
        <w:t>）生产设备</w:t>
      </w:r>
    </w:p>
    <w:p>
      <w:pPr>
        <w:snapToGrid w:val="0"/>
        <w:spacing w:line="360" w:lineRule="auto"/>
        <w:ind w:firstLine="480" w:firstLineChars="200"/>
        <w:rPr>
          <w:rFonts w:hint="default" w:ascii="Times New Roman" w:hAnsi="Times New Roman" w:eastAsia="宋体"/>
          <w:color w:val="FF0000"/>
          <w:sz w:val="24"/>
          <w:lang w:val="en-US" w:eastAsia="zh-CN"/>
        </w:rPr>
      </w:pPr>
      <w:r>
        <w:rPr>
          <w:rFonts w:ascii="Times New Roman" w:hAnsi="Arial"/>
          <w:sz w:val="24"/>
        </w:rPr>
        <w:t>本项目建设1幢小学教学楼（含实验室、图书馆、多功能厅）、1幢初中教学楼（含实验室、综合楼、行政办公楼、阶梯教室）、1幢体育馆（含室内游泳池）、1个田径场、2个运动场、1个食堂，主要设备为配套公用设备，</w:t>
      </w:r>
      <w:r>
        <w:rPr>
          <w:rFonts w:ascii="Times New Roman" w:hAnsi="Arial"/>
          <w:color w:val="FF0000"/>
          <w:sz w:val="24"/>
        </w:rPr>
        <w:t>其中主要产污设备锅炉</w:t>
      </w:r>
      <w:r>
        <w:rPr>
          <w:rFonts w:hint="eastAsia" w:ascii="Times New Roman" w:hAnsi="Arial"/>
          <w:color w:val="FF0000"/>
          <w:sz w:val="24"/>
          <w:lang w:val="en-US" w:eastAsia="zh-CN"/>
        </w:rPr>
        <w:t>由原审批的1台0.5吨燃气热水锅炉变动为2台燃气热水锅炉（一用一备，型号分别为0.83吨、0.5吨）</w:t>
      </w:r>
      <w:r>
        <w:rPr>
          <w:rFonts w:ascii="Times New Roman" w:hAnsi="Arial"/>
          <w:color w:val="FF0000"/>
          <w:sz w:val="24"/>
        </w:rPr>
        <w:t>，</w:t>
      </w:r>
      <w:r>
        <w:rPr>
          <w:rFonts w:hint="eastAsia" w:ascii="Times New Roman" w:hAnsi="Arial"/>
          <w:color w:val="FF0000"/>
          <w:sz w:val="24"/>
          <w:lang w:val="en-US" w:eastAsia="zh-CN"/>
        </w:rPr>
        <w:t>锅炉烟气排放口数量不变。由于环评原审批时未对燃气锅炉废气中污染物排放量进行核定，根据验收监测，现状天然气锅炉烟气排放符合《锅炉大气污染物排放标准》（GB 13271-2014）表3特别排放限值要求，因此该变化不会导致污染物排放量增加。</w:t>
      </w:r>
      <w:r>
        <w:rPr>
          <w:rFonts w:ascii="Times New Roman" w:hAnsi="Arial"/>
          <w:color w:val="FF0000"/>
          <w:sz w:val="24"/>
        </w:rPr>
        <w:t>其他设备数量</w:t>
      </w:r>
      <w:r>
        <w:rPr>
          <w:rFonts w:hint="eastAsia" w:ascii="Times New Roman" w:hAnsi="Arial"/>
          <w:color w:val="FF0000"/>
          <w:sz w:val="24"/>
          <w:lang w:val="en-US" w:eastAsia="zh-CN"/>
        </w:rPr>
        <w:t>与原环评审批时一致</w:t>
      </w:r>
      <w:r>
        <w:rPr>
          <w:rFonts w:hint="eastAsia" w:ascii="Times New Roman" w:hAnsi="Arial"/>
          <w:color w:val="FF0000"/>
          <w:sz w:val="24"/>
          <w:lang w:eastAsia="zh-CN"/>
        </w:rPr>
        <w:t>，</w:t>
      </w:r>
      <w:r>
        <w:rPr>
          <w:rFonts w:hint="eastAsia" w:ascii="Times New Roman" w:hAnsi="Arial"/>
          <w:color w:val="FF0000"/>
          <w:sz w:val="24"/>
          <w:lang w:val="en-US" w:eastAsia="zh-CN"/>
        </w:rPr>
        <w:t>项目未发生重大变动。</w:t>
      </w:r>
    </w:p>
    <w:p>
      <w:pPr>
        <w:snapToGrid w:val="0"/>
        <w:spacing w:line="360" w:lineRule="auto"/>
        <w:ind w:firstLine="480" w:firstLineChars="200"/>
        <w:rPr>
          <w:rFonts w:ascii="Times New Roman" w:hAnsi="Times New Roman"/>
          <w:sz w:val="24"/>
        </w:rPr>
      </w:pPr>
      <w:r>
        <w:rPr>
          <w:rFonts w:ascii="Times New Roman" w:hAnsi="Arial"/>
          <w:sz w:val="24"/>
        </w:rPr>
        <w:t>（</w:t>
      </w:r>
      <w:r>
        <w:rPr>
          <w:rFonts w:ascii="Times New Roman" w:hAnsi="Times New Roman"/>
          <w:sz w:val="24"/>
        </w:rPr>
        <w:t>2</w:t>
      </w:r>
      <w:r>
        <w:rPr>
          <w:rFonts w:ascii="Times New Roman" w:hAnsi="Arial"/>
          <w:sz w:val="24"/>
        </w:rPr>
        <w:t>）污染处理设施</w:t>
      </w:r>
    </w:p>
    <w:p>
      <w:pPr>
        <w:snapToGrid w:val="0"/>
        <w:spacing w:line="360" w:lineRule="auto"/>
        <w:ind w:firstLine="480" w:firstLineChars="200"/>
        <w:rPr>
          <w:rFonts w:ascii="Times New Roman" w:hAnsi="Times New Roman"/>
          <w:sz w:val="24"/>
        </w:rPr>
      </w:pPr>
      <w:r>
        <w:rPr>
          <w:rFonts w:ascii="Times New Roman" w:hAnsi="Arial"/>
          <w:sz w:val="24"/>
        </w:rPr>
        <w:t>项目地下车库尾气井和油烟井数量布局与原环评有所变化，主要排放口锅炉烟囱的数量、位置及高度与原环评一致。锅炉采用天然气作为燃料，为清洁能源。废水收集预处理后送市政污水处理厂处理，不直接排放。</w:t>
      </w:r>
    </w:p>
    <w:p>
      <w:pPr>
        <w:spacing w:line="360" w:lineRule="auto"/>
        <w:ind w:firstLine="480" w:firstLineChars="200"/>
        <w:rPr>
          <w:rFonts w:ascii="Times New Roman" w:hAnsi="Times New Roman"/>
          <w:sz w:val="24"/>
        </w:rPr>
      </w:pPr>
      <w:r>
        <w:rPr>
          <w:rFonts w:ascii="Times New Roman" w:hAnsi="Arial"/>
          <w:sz w:val="24"/>
        </w:rPr>
        <w:t>根据</w:t>
      </w:r>
      <w:r>
        <w:rPr>
          <w:rFonts w:ascii="Times New Roman" w:hAnsi="Arial"/>
          <w:color w:val="000000" w:themeColor="text1"/>
          <w:sz w:val="24"/>
        </w:rPr>
        <w:t>《</w:t>
      </w:r>
      <w:r>
        <w:fldChar w:fldCharType="begin"/>
      </w:r>
      <w:r>
        <w:instrText xml:space="preserve"> HYPERLINK "http://www.mee.gov.cn/ywgz/fgbz/fl/201901/t20190111_689247.shtml" </w:instrText>
      </w:r>
      <w:r>
        <w:fldChar w:fldCharType="separate"/>
      </w:r>
      <w:r>
        <w:rPr>
          <w:rStyle w:val="38"/>
          <w:rFonts w:ascii="Times New Roman" w:hAnsi="Arial"/>
          <w:color w:val="000000" w:themeColor="text1"/>
          <w:sz w:val="24"/>
          <w:u w:val="none"/>
        </w:rPr>
        <w:t>中华人民共和国环境影响评价法</w:t>
      </w:r>
      <w:r>
        <w:rPr>
          <w:rStyle w:val="38"/>
          <w:rFonts w:ascii="Times New Roman" w:hAnsi="Arial"/>
          <w:color w:val="000000" w:themeColor="text1"/>
          <w:sz w:val="24"/>
          <w:u w:val="none"/>
        </w:rPr>
        <w:fldChar w:fldCharType="end"/>
      </w:r>
      <w:r>
        <w:rPr>
          <w:rFonts w:ascii="Times New Roman" w:hAnsi="Arial"/>
          <w:color w:val="000000" w:themeColor="text1"/>
          <w:sz w:val="24"/>
        </w:rPr>
        <w:t>》、《</w:t>
      </w:r>
      <w:r>
        <w:fldChar w:fldCharType="begin"/>
      </w:r>
      <w:r>
        <w:instrText xml:space="preserve"> HYPERLINK "http://www.mee.gov.cn/zcwj/gwywj/202001/t20200108_758117.shtml" </w:instrText>
      </w:r>
      <w:r>
        <w:fldChar w:fldCharType="separate"/>
      </w:r>
      <w:r>
        <w:rPr>
          <w:rStyle w:val="38"/>
          <w:rFonts w:ascii="Times New Roman" w:hAnsi="Arial"/>
          <w:color w:val="000000" w:themeColor="text1"/>
          <w:sz w:val="24"/>
          <w:u w:val="none"/>
        </w:rPr>
        <w:t>建设项目环境保护管理条例</w:t>
      </w:r>
      <w:r>
        <w:rPr>
          <w:rStyle w:val="38"/>
          <w:rFonts w:ascii="Times New Roman" w:hAnsi="Arial"/>
          <w:color w:val="000000" w:themeColor="text1"/>
          <w:sz w:val="24"/>
          <w:u w:val="none"/>
        </w:rPr>
        <w:fldChar w:fldCharType="end"/>
      </w:r>
      <w:r>
        <w:rPr>
          <w:rFonts w:ascii="Times New Roman" w:hAnsi="Arial"/>
          <w:color w:val="000000" w:themeColor="text1"/>
          <w:sz w:val="24"/>
        </w:rPr>
        <w:t>》、《</w:t>
      </w:r>
      <w:r>
        <w:fldChar w:fldCharType="begin"/>
      </w:r>
      <w:r>
        <w:instrText xml:space="preserve"> HYPERLINK "http://www.mee.gov.cn/gkml/hbb/bgt/201506/t20150610_303328.htm" </w:instrText>
      </w:r>
      <w:r>
        <w:fldChar w:fldCharType="separate"/>
      </w:r>
      <w:r>
        <w:rPr>
          <w:rStyle w:val="38"/>
          <w:rFonts w:ascii="Times New Roman" w:hAnsi="Arial"/>
          <w:color w:val="000000" w:themeColor="text1"/>
          <w:sz w:val="24"/>
          <w:u w:val="none"/>
        </w:rPr>
        <w:t>关于印发环评管理中部分行业建设项目重大变动清单的通知</w:t>
      </w:r>
      <w:r>
        <w:rPr>
          <w:rStyle w:val="38"/>
          <w:rFonts w:ascii="Times New Roman" w:hAnsi="Arial"/>
          <w:color w:val="000000" w:themeColor="text1"/>
          <w:sz w:val="24"/>
          <w:u w:val="none"/>
        </w:rPr>
        <w:fldChar w:fldCharType="end"/>
      </w:r>
      <w:r>
        <w:rPr>
          <w:rFonts w:ascii="Times New Roman" w:hAnsi="Arial"/>
          <w:sz w:val="24"/>
        </w:rPr>
        <w:t>》（环办〔</w:t>
      </w:r>
      <w:r>
        <w:rPr>
          <w:rFonts w:ascii="Times New Roman" w:hAnsi="Times New Roman"/>
          <w:sz w:val="24"/>
        </w:rPr>
        <w:t>2015</w:t>
      </w:r>
      <w:r>
        <w:rPr>
          <w:rFonts w:ascii="Times New Roman" w:hAnsi="Arial"/>
          <w:sz w:val="24"/>
        </w:rPr>
        <w:t>〕</w:t>
      </w:r>
      <w:r>
        <w:rPr>
          <w:rFonts w:ascii="Times New Roman" w:hAnsi="Times New Roman"/>
          <w:sz w:val="24"/>
        </w:rPr>
        <w:t>52</w:t>
      </w:r>
      <w:r>
        <w:rPr>
          <w:rFonts w:ascii="Times New Roman" w:hAnsi="Arial"/>
          <w:sz w:val="24"/>
        </w:rPr>
        <w:t>号），</w:t>
      </w:r>
      <w:r>
        <w:rPr>
          <w:rFonts w:ascii="Times New Roman" w:hAnsi="Times New Roman"/>
          <w:sz w:val="24"/>
        </w:rPr>
        <w:t>“</w:t>
      </w:r>
      <w:r>
        <w:rPr>
          <w:rFonts w:ascii="Times New Roman" w:hAnsi="Arial"/>
          <w:sz w:val="24"/>
        </w:rPr>
        <w:t>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Arial"/>
          <w:sz w:val="24"/>
        </w:rPr>
        <w:t>对照《关于印发</w:t>
      </w:r>
      <w:r>
        <w:rPr>
          <w:rFonts w:ascii="Times New Roman" w:hAnsi="Times New Roman"/>
          <w:sz w:val="24"/>
        </w:rPr>
        <w:t>&lt;</w:t>
      </w:r>
      <w:r>
        <w:rPr>
          <w:rFonts w:ascii="Times New Roman" w:hAnsi="Arial"/>
          <w:sz w:val="24"/>
        </w:rPr>
        <w:t>污染影响类建设项目重大变动清单（试行）</w:t>
      </w:r>
      <w:r>
        <w:rPr>
          <w:rFonts w:ascii="Times New Roman" w:hAnsi="Times New Roman"/>
          <w:sz w:val="24"/>
        </w:rPr>
        <w:t>&gt;</w:t>
      </w:r>
      <w:r>
        <w:rPr>
          <w:rFonts w:ascii="Times New Roman" w:hAnsi="Arial"/>
          <w:sz w:val="24"/>
        </w:rPr>
        <w:t>的通知》（环办环评函〔</w:t>
      </w:r>
      <w:r>
        <w:rPr>
          <w:rFonts w:ascii="Times New Roman" w:hAnsi="Times New Roman"/>
          <w:sz w:val="24"/>
        </w:rPr>
        <w:t>2020</w:t>
      </w:r>
      <w:r>
        <w:rPr>
          <w:rFonts w:ascii="Times New Roman" w:hAnsi="Arial"/>
          <w:sz w:val="24"/>
        </w:rPr>
        <w:t>〕</w:t>
      </w:r>
      <w:r>
        <w:rPr>
          <w:rFonts w:ascii="Times New Roman" w:hAnsi="Times New Roman"/>
          <w:sz w:val="24"/>
        </w:rPr>
        <w:t>688</w:t>
      </w:r>
      <w:r>
        <w:rPr>
          <w:rFonts w:ascii="Times New Roman" w:hAnsi="Arial"/>
          <w:sz w:val="24"/>
        </w:rPr>
        <w:t>号），本项目建设性质、建设地点、生产规模不变，污染物排放量不增加，变动情况分析判定不属于重大变动。</w:t>
      </w:r>
    </w:p>
    <w:p>
      <w:pPr>
        <w:spacing w:line="360" w:lineRule="auto"/>
        <w:ind w:firstLine="482" w:firstLineChars="200"/>
        <w:outlineLvl w:val="0"/>
        <w:rPr>
          <w:rFonts w:ascii="Times New Roman" w:hAnsi="Times New Roman"/>
          <w:b/>
          <w:sz w:val="24"/>
        </w:rPr>
      </w:pPr>
      <w:r>
        <w:rPr>
          <w:rFonts w:ascii="Times New Roman" w:hAnsi="Arial"/>
          <w:b/>
          <w:sz w:val="24"/>
        </w:rPr>
        <w:t>三、环境保护设施建设情况</w:t>
      </w:r>
    </w:p>
    <w:p>
      <w:pPr>
        <w:pStyle w:val="87"/>
      </w:pPr>
      <w:r>
        <w:t>1、废水</w:t>
      </w:r>
    </w:p>
    <w:p>
      <w:pPr>
        <w:pStyle w:val="87"/>
      </w:pPr>
      <w:r>
        <w:rPr>
          <w:rFonts w:hint="eastAsia"/>
        </w:rPr>
        <w:t>项目食堂厨房含油废水经隔油除渣等预处理、冲厕废水经化粪池预处理、实验室废水经中和池处理后纳入城市污水管网；游泳池废水平均每个月排放一次，废水需先经过滤除去毛发等杂质，再沉淀去除SS后，与经化粪池预处理后的其它生活污水一道</w:t>
      </w:r>
      <w:r>
        <w:t>纳入市政污水管网，送</w:t>
      </w:r>
      <w:r>
        <w:rPr>
          <w:rFonts w:hint="eastAsia"/>
        </w:rPr>
        <w:t>临平净水</w:t>
      </w:r>
      <w:r>
        <w:t>厂集中处理后排放。</w:t>
      </w:r>
    </w:p>
    <w:p>
      <w:pPr>
        <w:pStyle w:val="87"/>
      </w:pPr>
      <w:r>
        <w:t>2、废气</w:t>
      </w:r>
    </w:p>
    <w:p>
      <w:pPr>
        <w:pStyle w:val="87"/>
      </w:pPr>
      <w:r>
        <w:t>本项目的废气主要为汽车尾气</w:t>
      </w:r>
      <w:r>
        <w:rPr>
          <w:rFonts w:hint="eastAsia"/>
        </w:rPr>
        <w:t>、实验室废气、</w:t>
      </w:r>
      <w:r>
        <w:t>食堂油烟废气、燃气锅炉废气</w:t>
      </w:r>
      <w:r>
        <w:rPr>
          <w:rFonts w:hint="eastAsia"/>
        </w:rPr>
        <w:t>、垃圾房臭气</w:t>
      </w:r>
      <w:r>
        <w:t>。</w:t>
      </w:r>
    </w:p>
    <w:p>
      <w:pPr>
        <w:pStyle w:val="87"/>
      </w:pPr>
      <w:r>
        <w:rPr>
          <w:rFonts w:hint="eastAsia"/>
        </w:rPr>
        <w:t>①</w:t>
      </w:r>
      <w:r>
        <w:t>本项目对地下室机动车库设置排风系统，地下车库汽车尾气经排放竖井至屋面或地面排放。</w:t>
      </w:r>
    </w:p>
    <w:p>
      <w:pPr>
        <w:pStyle w:val="87"/>
      </w:pPr>
      <w:r>
        <w:rPr>
          <w:rFonts w:hint="eastAsia"/>
        </w:rPr>
        <w:t>②</w:t>
      </w:r>
      <w:r>
        <w:rPr>
          <w:rFonts w:ascii="Times New Roman" w:hAnsi="Arial"/>
          <w:color w:val="FF0000"/>
          <w:kern w:val="0"/>
          <w:sz w:val="24"/>
        </w:rPr>
        <w:t>项目共设</w:t>
      </w:r>
      <w:r>
        <w:rPr>
          <w:rFonts w:hint="eastAsia" w:ascii="Times New Roman" w:hAnsi="Times New Roman"/>
          <w:color w:val="FF0000"/>
          <w:kern w:val="0"/>
          <w:sz w:val="24"/>
          <w:lang w:val="en-US" w:eastAsia="zh-CN"/>
        </w:rPr>
        <w:t>2</w:t>
      </w:r>
      <w:r>
        <w:rPr>
          <w:rFonts w:ascii="Times New Roman" w:hAnsi="Arial"/>
          <w:color w:val="FF0000"/>
          <w:kern w:val="0"/>
          <w:sz w:val="24"/>
        </w:rPr>
        <w:t>台天然气热水锅炉</w:t>
      </w:r>
      <w:r>
        <w:rPr>
          <w:rFonts w:hint="eastAsia" w:ascii="Times New Roman" w:hAnsi="Arial"/>
          <w:color w:val="FF0000"/>
          <w:kern w:val="0"/>
          <w:sz w:val="24"/>
          <w:lang w:eastAsia="zh-CN"/>
        </w:rPr>
        <w:t>，</w:t>
      </w:r>
      <w:r>
        <w:rPr>
          <w:rFonts w:hint="eastAsia" w:ascii="Times New Roman" w:hAnsi="Arial"/>
          <w:color w:val="FF0000"/>
          <w:kern w:val="0"/>
          <w:sz w:val="24"/>
          <w:lang w:val="en-US" w:eastAsia="zh-CN"/>
        </w:rPr>
        <w:t>一</w:t>
      </w:r>
      <w:r>
        <w:rPr>
          <w:rFonts w:hint="eastAsia" w:ascii="Times New Roman" w:hAnsi="Arial"/>
          <w:color w:val="FF0000"/>
          <w:kern w:val="0"/>
          <w:sz w:val="24"/>
          <w:lang w:eastAsia="zh-CN"/>
        </w:rPr>
        <w:t>用一备，型号分别为0.8</w:t>
      </w:r>
      <w:r>
        <w:rPr>
          <w:rFonts w:hint="eastAsia" w:ascii="Times New Roman" w:hAnsi="Arial"/>
          <w:color w:val="FF0000"/>
          <w:kern w:val="0"/>
          <w:sz w:val="24"/>
          <w:lang w:val="en-US" w:eastAsia="zh-CN"/>
        </w:rPr>
        <w:t>3</w:t>
      </w:r>
      <w:r>
        <w:rPr>
          <w:rFonts w:hint="eastAsia" w:ascii="Times New Roman" w:hAnsi="Arial"/>
          <w:color w:val="FF0000"/>
          <w:kern w:val="0"/>
          <w:sz w:val="24"/>
          <w:lang w:eastAsia="zh-CN"/>
        </w:rPr>
        <w:t>吨、0.5吨</w:t>
      </w:r>
      <w:r>
        <w:rPr>
          <w:rFonts w:ascii="Times New Roman" w:hAnsi="Arial"/>
          <w:color w:val="FF0000"/>
          <w:kern w:val="0"/>
          <w:sz w:val="24"/>
        </w:rPr>
        <w:t>，天然气燃烧废气经管道</w:t>
      </w:r>
      <w:r>
        <w:rPr>
          <w:rFonts w:hint="eastAsia" w:ascii="Times New Roman" w:hAnsi="Arial"/>
          <w:color w:val="FF0000"/>
          <w:kern w:val="0"/>
          <w:sz w:val="24"/>
          <w:lang w:val="en-US" w:eastAsia="zh-CN"/>
        </w:rPr>
        <w:t>分别</w:t>
      </w:r>
      <w:r>
        <w:rPr>
          <w:rFonts w:ascii="Times New Roman" w:hAnsi="Arial"/>
          <w:color w:val="FF0000"/>
          <w:kern w:val="0"/>
          <w:sz w:val="24"/>
        </w:rPr>
        <w:t>全部收集后</w:t>
      </w:r>
      <w:r>
        <w:rPr>
          <w:rFonts w:hint="eastAsia" w:ascii="Times New Roman" w:hAnsi="Arial"/>
          <w:color w:val="FF0000"/>
          <w:kern w:val="0"/>
          <w:sz w:val="24"/>
          <w:lang w:val="en-US" w:eastAsia="zh-CN"/>
        </w:rPr>
        <w:t>汇总到一根排气筒，</w:t>
      </w:r>
      <w:r>
        <w:rPr>
          <w:rFonts w:ascii="Times New Roman" w:hAnsi="Arial"/>
          <w:color w:val="FF0000"/>
          <w:kern w:val="0"/>
          <w:sz w:val="24"/>
        </w:rPr>
        <w:t>直接从屋顶排放</w:t>
      </w:r>
      <w:r>
        <w:rPr>
          <w:rFonts w:ascii="Times New Roman" w:hAnsi="Arial"/>
          <w:color w:val="FF0000"/>
          <w:kern w:val="0"/>
          <w:sz w:val="24"/>
        </w:rPr>
        <w:t>，排风井高度为</w:t>
      </w:r>
      <w:r>
        <w:rPr>
          <w:rFonts w:ascii="Times New Roman" w:hAnsi="Times New Roman"/>
          <w:color w:val="FF0000"/>
          <w:kern w:val="0"/>
          <w:sz w:val="24"/>
        </w:rPr>
        <w:t>15m</w:t>
      </w:r>
      <w:r>
        <w:t>。</w:t>
      </w:r>
    </w:p>
    <w:p>
      <w:pPr>
        <w:pStyle w:val="87"/>
      </w:pPr>
      <w:r>
        <w:rPr>
          <w:rFonts w:hint="eastAsia"/>
        </w:rPr>
        <w:t>③</w:t>
      </w:r>
      <w:r>
        <w:t>餐饮油烟废气收集由专用油烟井后引至屋顶经高效油烟净化装置净化后排放。</w:t>
      </w:r>
    </w:p>
    <w:p>
      <w:pPr>
        <w:pStyle w:val="87"/>
      </w:pPr>
      <w:r>
        <w:rPr>
          <w:rFonts w:hint="eastAsia"/>
        </w:rPr>
        <w:t>④</w:t>
      </w:r>
      <w:r>
        <w:rPr>
          <w:rFonts w:hint="eastAsia" w:ascii="Times New Roman" w:hAnsi="Arial"/>
          <w:color w:val="FF0000"/>
          <w:kern w:val="0"/>
          <w:sz w:val="24"/>
        </w:rPr>
        <w:t>实验室内使用的化学品为稀硫酸，氢氧化钠，氢氧化钙，硫酸铜，碳酸钙，碳酸钠，氯化钠等无机化学品，单种化学品年用量均为0.001t/a，仅产生少量酸碱废气，</w:t>
      </w:r>
      <w:r>
        <w:rPr>
          <w:rFonts w:hint="eastAsia" w:ascii="Times New Roman" w:hAnsi="Arial"/>
          <w:color w:val="FF0000"/>
          <w:kern w:val="0"/>
          <w:sz w:val="24"/>
          <w:lang w:val="en-US" w:eastAsia="zh-CN"/>
        </w:rPr>
        <w:t>不进行定量分析，</w:t>
      </w:r>
      <w:r>
        <w:rPr>
          <w:rFonts w:hint="eastAsia" w:ascii="Times New Roman" w:hAnsi="Arial"/>
          <w:color w:val="FF0000"/>
          <w:kern w:val="0"/>
          <w:sz w:val="24"/>
        </w:rPr>
        <w:t>实验操作在通风橱内进行，实验室废气无组织排放</w:t>
      </w:r>
      <w:r>
        <w:rPr>
          <w:rFonts w:hint="eastAsia"/>
        </w:rPr>
        <w:t>。</w:t>
      </w:r>
    </w:p>
    <w:p>
      <w:pPr>
        <w:pStyle w:val="87"/>
      </w:pPr>
      <w:r>
        <w:rPr>
          <w:rFonts w:hint="eastAsia"/>
        </w:rPr>
        <w:t>⑤垃圾收集房内安放垃圾桶均为盖式，不设置垃圾压缩设备，生活垃圾采用袋装化收集，委托当地环卫部门每日定时清理，并采用密闭式垃圾运输车外运进行处置。</w:t>
      </w:r>
    </w:p>
    <w:p>
      <w:pPr>
        <w:pStyle w:val="87"/>
      </w:pPr>
      <w:r>
        <w:t>3、噪声</w:t>
      </w:r>
    </w:p>
    <w:p>
      <w:pPr>
        <w:pStyle w:val="87"/>
      </w:pPr>
      <w:r>
        <w:t>项目产生的噪声的源强主要为风机、冷却塔、配电房等设备噪声和地库出入库交通噪声等。</w:t>
      </w:r>
    </w:p>
    <w:p>
      <w:pPr>
        <w:kinsoku w:val="0"/>
        <w:overflowPunct w:val="0"/>
        <w:autoSpaceDE w:val="0"/>
        <w:autoSpaceDN w:val="0"/>
        <w:spacing w:line="360" w:lineRule="auto"/>
        <w:ind w:firstLine="480" w:firstLineChars="200"/>
        <w:rPr>
          <w:rFonts w:ascii="Times New Roman" w:hAnsi="Times New Roman"/>
          <w:sz w:val="24"/>
        </w:rPr>
      </w:pPr>
      <w:r>
        <w:rPr>
          <w:rFonts w:ascii="Times New Roman" w:hAnsi="Arial"/>
          <w:sz w:val="24"/>
        </w:rPr>
        <w:t>除空调室外机外，水泵房、通风机房和变配电间等强噪声源均置于地下，已不是影响教学活动的主要噪声源。生活水泵均选用低噪音的产品，水泵基础采用减震基础，泵房内均采用弹性减震吊支架；空调、风机等均采用低噪音型，分机出入口设置消声器，风机房内墙各面均贴</w:t>
      </w:r>
      <w:r>
        <w:rPr>
          <w:rFonts w:ascii="Times New Roman" w:hAnsi="Times New Roman"/>
          <w:sz w:val="24"/>
        </w:rPr>
        <w:t>50mm</w:t>
      </w:r>
      <w:r>
        <w:rPr>
          <w:rFonts w:ascii="Times New Roman" w:hAnsi="Arial"/>
          <w:sz w:val="24"/>
        </w:rPr>
        <w:t>厚超细玻璃棉毡，玻璃棉毡以</w:t>
      </w:r>
      <w:r>
        <w:rPr>
          <w:rFonts w:ascii="Times New Roman" w:hAnsi="Times New Roman"/>
          <w:sz w:val="24"/>
        </w:rPr>
        <w:t>50x50</w:t>
      </w:r>
      <w:r>
        <w:rPr>
          <w:rFonts w:ascii="Times New Roman" w:hAnsi="Arial"/>
          <w:sz w:val="24"/>
        </w:rPr>
        <w:t>木筋分隔，外覆玻璃布，并用</w:t>
      </w:r>
      <w:r>
        <w:rPr>
          <w:rFonts w:ascii="Times New Roman" w:hAnsi="Times New Roman"/>
          <w:sz w:val="24"/>
        </w:rPr>
        <w:t>1.0m</w:t>
      </w:r>
      <w:r>
        <w:rPr>
          <w:rFonts w:ascii="Times New Roman" w:hAnsi="Arial"/>
          <w:sz w:val="24"/>
        </w:rPr>
        <w:t>厚穿孔镀锌钢板（孔径</w:t>
      </w:r>
      <w:r>
        <w:rPr>
          <w:rFonts w:ascii="Times New Roman" w:hAnsi="Times New Roman"/>
          <w:sz w:val="24"/>
        </w:rPr>
        <w:t xml:space="preserve"> 5mm</w:t>
      </w:r>
      <w:r>
        <w:rPr>
          <w:rFonts w:ascii="Times New Roman" w:hAnsi="Arial"/>
          <w:sz w:val="24"/>
        </w:rPr>
        <w:t>，孔距</w:t>
      </w:r>
      <w:r>
        <w:rPr>
          <w:rFonts w:ascii="Times New Roman" w:hAnsi="Times New Roman"/>
          <w:sz w:val="24"/>
        </w:rPr>
        <w:t xml:space="preserve"> 20mm</w:t>
      </w:r>
      <w:r>
        <w:rPr>
          <w:rFonts w:ascii="Times New Roman" w:hAnsi="Arial"/>
          <w:sz w:val="24"/>
        </w:rPr>
        <w:t>）作为饰面材料。机房门外开，采用隔声防火门。各风机均采取设置减振基础或减振吊架，管道上设置消音器等措施防止噪音污染</w:t>
      </w:r>
      <w:r>
        <w:rPr>
          <w:rFonts w:ascii="Times New Roman"/>
          <w:sz w:val="24"/>
        </w:rPr>
        <w:t>。</w:t>
      </w:r>
    </w:p>
    <w:p>
      <w:pPr>
        <w:pStyle w:val="87"/>
      </w:pPr>
      <w:r>
        <w:t>4、固废</w:t>
      </w:r>
    </w:p>
    <w:p>
      <w:pPr>
        <w:kinsoku w:val="0"/>
        <w:overflowPunct w:val="0"/>
        <w:autoSpaceDE w:val="0"/>
        <w:autoSpaceDN w:val="0"/>
        <w:spacing w:line="360" w:lineRule="auto"/>
        <w:ind w:firstLine="480" w:firstLineChars="200"/>
        <w:rPr>
          <w:rFonts w:ascii="Times New Roman" w:hAnsi="Times New Roman"/>
          <w:sz w:val="24"/>
        </w:rPr>
      </w:pPr>
      <w:r>
        <w:rPr>
          <w:rFonts w:ascii="Times New Roman" w:hAnsi="Arial"/>
          <w:sz w:val="24"/>
        </w:rPr>
        <w:t>本项目运营期产生的固体废物主要为生活垃圾、实验室废物、食堂餐饮固废、隔油池废油。生活垃圾分类收集，委托环卫部门统一及时清运与处置。实验室废物贮存在危险废物贮存间内，委托</w:t>
      </w:r>
      <w:r>
        <w:rPr>
          <w:rFonts w:hint="eastAsia" w:ascii="Times New Roman" w:hAnsi="Arial"/>
          <w:color w:val="FF0000"/>
          <w:kern w:val="0"/>
          <w:sz w:val="24"/>
          <w:lang w:val="en-US" w:eastAsia="zh-CN"/>
        </w:rPr>
        <w:t>杭州立佳环境服务有限公司</w:t>
      </w:r>
      <w:r>
        <w:rPr>
          <w:rFonts w:ascii="Times New Roman" w:hAnsi="Arial"/>
          <w:sz w:val="24"/>
        </w:rPr>
        <w:t>定期处置；食堂餐饮固废中废包装箱、饮料罐等收集后出售综合利用</w:t>
      </w:r>
      <w:r>
        <w:rPr>
          <w:rFonts w:hint="eastAsia" w:ascii="Times New Roman" w:hAnsi="Arial"/>
          <w:sz w:val="24"/>
        </w:rPr>
        <w:t>，</w:t>
      </w:r>
      <w:r>
        <w:rPr>
          <w:rFonts w:ascii="Times New Roman" w:hAnsi="Arial"/>
          <w:sz w:val="24"/>
        </w:rPr>
        <w:t>原料边角料及剩饭剩菜出售给农户做饲料；隔油池废油收集后委托有资质的单位处置</w:t>
      </w:r>
      <w:r>
        <w:rPr>
          <w:rFonts w:ascii="Times New Roman"/>
          <w:sz w:val="24"/>
        </w:rPr>
        <w:t>。</w:t>
      </w:r>
    </w:p>
    <w:p>
      <w:pPr>
        <w:spacing w:line="360" w:lineRule="auto"/>
        <w:ind w:firstLine="482" w:firstLineChars="200"/>
        <w:outlineLvl w:val="0"/>
        <w:rPr>
          <w:rFonts w:ascii="Times New Roman" w:hAnsi="Times New Roman"/>
          <w:b/>
          <w:sz w:val="24"/>
        </w:rPr>
      </w:pPr>
      <w:r>
        <w:rPr>
          <w:rFonts w:ascii="Times New Roman" w:hAnsi="Arial"/>
          <w:b/>
          <w:sz w:val="24"/>
        </w:rPr>
        <w:t>四、环境保护设施调试效果</w:t>
      </w:r>
    </w:p>
    <w:p>
      <w:pPr>
        <w:pStyle w:val="87"/>
      </w:pPr>
      <w:r>
        <w:t>1、废水</w:t>
      </w:r>
    </w:p>
    <w:p>
      <w:pPr>
        <w:pStyle w:val="87"/>
      </w:pPr>
      <w:r>
        <w:t>验收监测期间，废水排放口所采水样中pH值、悬浮物、化学需氧量、动植物油类排放浓度日均值符合《污水综合排放标准》（GB 8978-1996）表4三级标准，其中氨氮、总磷排放浓度日均值符合《污水排入城镇下水道水质标准》（GB/T 31962-2015）。</w:t>
      </w:r>
    </w:p>
    <w:p>
      <w:pPr>
        <w:pStyle w:val="87"/>
      </w:pPr>
      <w:r>
        <w:t>2、废气</w:t>
      </w:r>
    </w:p>
    <w:p>
      <w:pPr>
        <w:spacing w:line="360" w:lineRule="auto"/>
        <w:ind w:firstLine="480" w:firstLineChars="200"/>
        <w:rPr>
          <w:rFonts w:ascii="Times New Roman" w:hAnsi="Times New Roman"/>
          <w:sz w:val="24"/>
        </w:rPr>
      </w:pPr>
      <w:r>
        <w:rPr>
          <w:rFonts w:ascii="Times New Roman" w:hAnsi="Arial"/>
          <w:sz w:val="24"/>
        </w:rPr>
        <w:t>验收监测期间，</w:t>
      </w:r>
      <w:r>
        <w:rPr>
          <w:rFonts w:hint="eastAsia" w:ascii="Times New Roman" w:hAnsi="Arial"/>
          <w:sz w:val="24"/>
        </w:rPr>
        <w:t>项目</w:t>
      </w:r>
      <w:r>
        <w:rPr>
          <w:rFonts w:ascii="Times New Roman" w:hAnsi="Arial"/>
          <w:sz w:val="24"/>
        </w:rPr>
        <w:t>锅炉烟囱颗粒物、二氧化硫、氮氧化物及烟气黑度的排放浓度排放符合《锅炉大气污染物排放标准》（</w:t>
      </w:r>
      <w:r>
        <w:rPr>
          <w:rFonts w:ascii="Times New Roman" w:hAnsi="Times New Roman"/>
          <w:sz w:val="24"/>
        </w:rPr>
        <w:t>GB 13271-2014</w:t>
      </w:r>
      <w:r>
        <w:rPr>
          <w:rFonts w:ascii="Times New Roman" w:hAnsi="Arial"/>
          <w:sz w:val="24"/>
        </w:rPr>
        <w:t>）表</w:t>
      </w:r>
      <w:r>
        <w:rPr>
          <w:rFonts w:ascii="Times New Roman" w:hAnsi="Times New Roman"/>
          <w:sz w:val="24"/>
        </w:rPr>
        <w:t>3</w:t>
      </w:r>
      <w:r>
        <w:rPr>
          <w:rFonts w:ascii="Times New Roman" w:hAnsi="Arial"/>
          <w:sz w:val="24"/>
        </w:rPr>
        <w:t>特别排放限值，餐饮各油烟井油烟排放浓度均低于《饮食业油烟排放标准（试行）》（</w:t>
      </w:r>
      <w:r>
        <w:rPr>
          <w:rFonts w:ascii="Times New Roman" w:hAnsi="Times New Roman"/>
          <w:sz w:val="24"/>
        </w:rPr>
        <w:t>GB 18483-2001</w:t>
      </w:r>
      <w:r>
        <w:rPr>
          <w:rFonts w:ascii="Times New Roman" w:hAnsi="Arial"/>
          <w:sz w:val="24"/>
        </w:rPr>
        <w:t>）规定的最高允许排放浓度要求。</w:t>
      </w:r>
    </w:p>
    <w:p>
      <w:pPr>
        <w:spacing w:line="360" w:lineRule="auto"/>
        <w:ind w:firstLine="480" w:firstLineChars="200"/>
        <w:rPr>
          <w:rFonts w:ascii="Times New Roman" w:hAnsi="Times New Roman"/>
          <w:sz w:val="24"/>
        </w:rPr>
      </w:pPr>
      <w:r>
        <w:rPr>
          <w:rFonts w:ascii="Times New Roman" w:hAnsi="Arial"/>
          <w:sz w:val="24"/>
        </w:rPr>
        <w:t>验收监测期间，</w:t>
      </w:r>
      <w:r>
        <w:rPr>
          <w:rFonts w:hint="eastAsia" w:ascii="Times New Roman" w:hAnsi="Arial"/>
          <w:sz w:val="24"/>
          <w:lang w:val="en-US" w:eastAsia="zh-CN"/>
        </w:rPr>
        <w:t>学校场界</w:t>
      </w:r>
      <w:r>
        <w:rPr>
          <w:rFonts w:ascii="Times New Roman" w:hAnsi="Arial"/>
          <w:sz w:val="24"/>
        </w:rPr>
        <w:t>无组织排放废气中非甲烷总烃、氮氧化物浓度均低于《大气污染物综合排放标准》（</w:t>
      </w:r>
      <w:r>
        <w:rPr>
          <w:rFonts w:ascii="Times New Roman" w:hAnsi="Times New Roman"/>
          <w:sz w:val="24"/>
        </w:rPr>
        <w:t>GB 16297-1996</w:t>
      </w:r>
      <w:r>
        <w:rPr>
          <w:rFonts w:ascii="Times New Roman" w:hAnsi="Arial"/>
          <w:sz w:val="24"/>
        </w:rPr>
        <w:t>）中表</w:t>
      </w:r>
      <w:r>
        <w:rPr>
          <w:rFonts w:ascii="Times New Roman" w:hAnsi="Times New Roman"/>
          <w:sz w:val="24"/>
        </w:rPr>
        <w:t>2“</w:t>
      </w:r>
      <w:r>
        <w:rPr>
          <w:rFonts w:ascii="Times New Roman" w:hAnsi="Arial"/>
          <w:sz w:val="24"/>
        </w:rPr>
        <w:t>无组织排放监控浓度限值</w:t>
      </w:r>
      <w:r>
        <w:rPr>
          <w:rFonts w:ascii="Times New Roman" w:hAnsi="Times New Roman"/>
          <w:sz w:val="24"/>
        </w:rPr>
        <w:t>”</w:t>
      </w:r>
      <w:r>
        <w:rPr>
          <w:rFonts w:ascii="Times New Roman" w:hAnsi="Arial"/>
          <w:sz w:val="24"/>
        </w:rPr>
        <w:t>。</w:t>
      </w:r>
    </w:p>
    <w:p>
      <w:pPr>
        <w:spacing w:line="360" w:lineRule="auto"/>
        <w:ind w:firstLine="480" w:firstLineChars="200"/>
        <w:rPr>
          <w:rFonts w:ascii="Times New Roman" w:hAnsi="Times New Roman"/>
          <w:sz w:val="24"/>
        </w:rPr>
      </w:pPr>
      <w:r>
        <w:rPr>
          <w:rFonts w:ascii="Times New Roman" w:hAnsi="Times New Roman"/>
          <w:sz w:val="24"/>
        </w:rPr>
        <w:t>3</w:t>
      </w:r>
      <w:r>
        <w:rPr>
          <w:rFonts w:ascii="Times New Roman" w:hAnsi="Arial"/>
          <w:sz w:val="24"/>
        </w:rPr>
        <w:t>、噪声</w:t>
      </w:r>
    </w:p>
    <w:p>
      <w:pPr>
        <w:spacing w:line="360" w:lineRule="auto"/>
        <w:ind w:firstLine="480" w:firstLineChars="200"/>
        <w:rPr>
          <w:rFonts w:ascii="Times New Roman" w:hAnsi="Times New Roman"/>
          <w:sz w:val="24"/>
        </w:rPr>
      </w:pPr>
      <w:r>
        <w:rPr>
          <w:rFonts w:ascii="Times New Roman" w:hAnsi="Arial"/>
          <w:sz w:val="24"/>
        </w:rPr>
        <w:t>验收监测期间，</w:t>
      </w:r>
      <w:r>
        <w:rPr>
          <w:rFonts w:hint="eastAsia" w:ascii="Times New Roman" w:hAnsi="Arial"/>
          <w:sz w:val="24"/>
          <w:lang w:val="en-US" w:eastAsia="zh-CN"/>
        </w:rPr>
        <w:t>学校场界</w:t>
      </w:r>
      <w:r>
        <w:rPr>
          <w:rFonts w:hint="eastAsia" w:ascii="Times New Roman" w:hAnsi="Times New Roman"/>
          <w:sz w:val="24"/>
        </w:rPr>
        <w:t>东南、西南、西北侧噪声排放均满足《工业企业厂界环境噪声排放标准》（</w:t>
      </w:r>
      <w:r>
        <w:rPr>
          <w:rFonts w:ascii="Times New Roman" w:hAnsi="Times New Roman"/>
          <w:sz w:val="24"/>
        </w:rPr>
        <w:t>GB-12348-2008</w:t>
      </w:r>
      <w:r>
        <w:rPr>
          <w:rFonts w:hint="eastAsia" w:ascii="Times New Roman" w:hAnsi="Times New Roman"/>
          <w:sz w:val="24"/>
        </w:rPr>
        <w:t>）中</w:t>
      </w:r>
      <w:r>
        <w:rPr>
          <w:rFonts w:ascii="Times New Roman" w:hAnsi="Times New Roman"/>
          <w:sz w:val="24"/>
        </w:rPr>
        <w:t>2</w:t>
      </w:r>
      <w:r>
        <w:rPr>
          <w:rFonts w:hint="eastAsia" w:ascii="Times New Roman" w:hAnsi="Times New Roman"/>
          <w:sz w:val="24"/>
        </w:rPr>
        <w:t>类排放标准限值，东北侧噪声排放满足4a类标准要求。声环境保护目标噪声监测值能满足《声环境质量标准》（GB3096-2008）中2类标准要求</w:t>
      </w:r>
      <w:r>
        <w:rPr>
          <w:rFonts w:ascii="Times New Roman" w:hAnsi="Arial"/>
          <w:sz w:val="24"/>
        </w:rPr>
        <w:t>。</w:t>
      </w:r>
    </w:p>
    <w:p>
      <w:pPr>
        <w:spacing w:line="360" w:lineRule="auto"/>
        <w:ind w:firstLine="480" w:firstLineChars="200"/>
        <w:rPr>
          <w:rFonts w:ascii="Times New Roman" w:hAnsi="Times New Roman"/>
          <w:sz w:val="24"/>
        </w:rPr>
      </w:pPr>
      <w:r>
        <w:rPr>
          <w:rFonts w:ascii="Times New Roman" w:hAnsi="Times New Roman"/>
          <w:sz w:val="24"/>
        </w:rPr>
        <w:t>4</w:t>
      </w:r>
      <w:r>
        <w:rPr>
          <w:rFonts w:ascii="Times New Roman" w:hAnsi="Arial"/>
          <w:sz w:val="24"/>
        </w:rPr>
        <w:t>、固废</w:t>
      </w:r>
    </w:p>
    <w:p>
      <w:pPr>
        <w:spacing w:line="360" w:lineRule="auto"/>
        <w:ind w:firstLine="480" w:firstLineChars="200"/>
        <w:rPr>
          <w:rFonts w:ascii="Times New Roman" w:hAnsi="Times New Roman"/>
          <w:sz w:val="24"/>
        </w:rPr>
      </w:pPr>
      <w:r>
        <w:rPr>
          <w:rFonts w:ascii="Times New Roman" w:hAnsi="Arial"/>
          <w:sz w:val="24"/>
        </w:rPr>
        <w:t>本项目</w:t>
      </w:r>
      <w:r>
        <w:rPr>
          <w:rFonts w:hint="eastAsia" w:ascii="Times New Roman" w:hAnsi="Arial"/>
          <w:sz w:val="24"/>
        </w:rPr>
        <w:t>固废</w:t>
      </w:r>
      <w:r>
        <w:rPr>
          <w:rFonts w:ascii="Times New Roman" w:hAnsi="Arial"/>
          <w:sz w:val="24"/>
        </w:rPr>
        <w:t>主要为生活垃圾、实验室废物、食堂餐饮固废、隔油池废油。生活垃圾分类收集，委托环卫部门统一及时清运与处置。实验室废物贮存在危险废物贮存间内，委托</w:t>
      </w:r>
      <w:r>
        <w:rPr>
          <w:rFonts w:hint="eastAsia" w:ascii="Times New Roman" w:hAnsi="Arial"/>
          <w:color w:val="FF0000"/>
          <w:kern w:val="0"/>
          <w:sz w:val="24"/>
          <w:lang w:val="en-US" w:eastAsia="zh-CN"/>
        </w:rPr>
        <w:t>杭州立佳环境服务有限公司</w:t>
      </w:r>
      <w:r>
        <w:rPr>
          <w:rFonts w:ascii="Times New Roman" w:hAnsi="Arial"/>
          <w:sz w:val="24"/>
        </w:rPr>
        <w:t>定期处置；食堂餐饮固废中废包装箱、饮料罐等收集后出售综合利用</w:t>
      </w:r>
      <w:r>
        <w:rPr>
          <w:rFonts w:hint="eastAsia" w:ascii="Times New Roman" w:hAnsi="Arial"/>
          <w:sz w:val="24"/>
        </w:rPr>
        <w:t>，</w:t>
      </w:r>
      <w:r>
        <w:rPr>
          <w:rFonts w:ascii="Times New Roman" w:hAnsi="Arial"/>
          <w:sz w:val="24"/>
        </w:rPr>
        <w:t>原料边角料及剩饭剩菜出售给农户做饲料；隔油池废油收集后委托有资质的单位处置。</w:t>
      </w:r>
    </w:p>
    <w:p>
      <w:pPr>
        <w:spacing w:line="360" w:lineRule="auto"/>
        <w:ind w:firstLine="482" w:firstLineChars="200"/>
        <w:outlineLvl w:val="0"/>
        <w:rPr>
          <w:rFonts w:ascii="Times New Roman" w:hAnsi="Times New Roman"/>
          <w:b/>
          <w:sz w:val="24"/>
        </w:rPr>
      </w:pPr>
      <w:r>
        <w:rPr>
          <w:rFonts w:ascii="Times New Roman" w:hAnsi="Arial"/>
          <w:b/>
          <w:sz w:val="24"/>
        </w:rPr>
        <w:t>五、工程建设对环境的影响</w:t>
      </w:r>
    </w:p>
    <w:p>
      <w:pPr>
        <w:spacing w:line="360" w:lineRule="auto"/>
        <w:ind w:firstLine="480" w:firstLineChars="200"/>
        <w:rPr>
          <w:rFonts w:ascii="Times New Roman" w:hAnsi="Times New Roman"/>
          <w:sz w:val="24"/>
        </w:rPr>
      </w:pPr>
      <w:r>
        <w:rPr>
          <w:rFonts w:ascii="Times New Roman" w:hAnsi="Arial"/>
          <w:sz w:val="24"/>
        </w:rPr>
        <w:t>建设单位验收期间，环保设施均正常运行，污染物排放均能够达到相关标准限值，对周边环境影响不大。</w:t>
      </w:r>
    </w:p>
    <w:p>
      <w:pPr>
        <w:spacing w:line="360" w:lineRule="auto"/>
        <w:ind w:firstLine="482" w:firstLineChars="200"/>
        <w:outlineLvl w:val="0"/>
        <w:rPr>
          <w:rFonts w:ascii="Times New Roman" w:hAnsi="Times New Roman"/>
          <w:b/>
          <w:sz w:val="24"/>
        </w:rPr>
      </w:pPr>
      <w:r>
        <w:rPr>
          <w:rFonts w:ascii="Times New Roman" w:hAnsi="Arial"/>
          <w:b/>
          <w:sz w:val="24"/>
        </w:rPr>
        <w:t>六、验收结论</w:t>
      </w:r>
    </w:p>
    <w:p>
      <w:pPr>
        <w:pStyle w:val="87"/>
      </w:pPr>
      <w:r>
        <w:rPr>
          <w:rFonts w:hint="eastAsia" w:hAnsi="Arial"/>
        </w:rPr>
        <w:t>余杭区星桥九年一贯制学校项目</w:t>
      </w:r>
      <w:r>
        <w:t>环保手续完备，验收资料基本齐全，环境保护措施均已按照环评及批复的要求建成，建立了较为规范的环保管理制度，各主要污染物指标达到相应污染物排放标准的要求，总量符合环评及批复要求，没有《建设项目竣工环境保护验收暂行办法》（国环规环评[2017]4号）中所规定的验收不合格情形，验收组同意该项目通过竣工环境保护验收。</w:t>
      </w:r>
    </w:p>
    <w:p>
      <w:pPr>
        <w:spacing w:line="360" w:lineRule="auto"/>
        <w:ind w:firstLine="482" w:firstLineChars="200"/>
        <w:outlineLvl w:val="0"/>
        <w:rPr>
          <w:rFonts w:ascii="Times New Roman" w:hAnsi="Times New Roman"/>
          <w:sz w:val="24"/>
        </w:rPr>
      </w:pPr>
      <w:r>
        <w:rPr>
          <w:rFonts w:ascii="Times New Roman" w:hAnsi="Arial"/>
          <w:b/>
          <w:sz w:val="24"/>
        </w:rPr>
        <w:t>七、后续要求</w:t>
      </w:r>
    </w:p>
    <w:p>
      <w:pPr>
        <w:pStyle w:val="87"/>
      </w:pPr>
      <w:r>
        <w:t>1、验收监测单位须按照《建设项目竣工环境保护验收技术指南污染影响类》要求，进一步完善验收监测报告内容。</w:t>
      </w:r>
    </w:p>
    <w:p>
      <w:pPr>
        <w:pStyle w:val="87"/>
      </w:pPr>
      <w:r>
        <w:t>2、</w:t>
      </w:r>
      <w:bookmarkStart w:id="56" w:name="_Hlk160635642"/>
      <w:r>
        <w:t>完善环保设施标识标牌、操作规程和废气管路走向标识等。</w:t>
      </w:r>
      <w:bookmarkEnd w:id="56"/>
    </w:p>
    <w:p>
      <w:pPr>
        <w:spacing w:line="360" w:lineRule="auto"/>
        <w:ind w:firstLine="482" w:firstLineChars="200"/>
        <w:outlineLvl w:val="0"/>
        <w:rPr>
          <w:rFonts w:ascii="Times New Roman" w:hAnsi="Times New Roman"/>
          <w:b/>
          <w:sz w:val="24"/>
        </w:rPr>
      </w:pPr>
      <w:r>
        <w:rPr>
          <w:rFonts w:ascii="Times New Roman" w:hAnsi="Arial"/>
          <w:b/>
          <w:sz w:val="24"/>
        </w:rPr>
        <w:t>八、验收人员信息</w:t>
      </w:r>
    </w:p>
    <w:p>
      <w:pPr>
        <w:spacing w:line="360" w:lineRule="auto"/>
        <w:ind w:firstLine="480" w:firstLineChars="200"/>
        <w:rPr>
          <w:rFonts w:ascii="Times New Roman" w:hAnsi="Times New Roman"/>
          <w:sz w:val="24"/>
        </w:rPr>
      </w:pPr>
      <w:r>
        <w:rPr>
          <w:rFonts w:ascii="Times New Roman" w:hAnsi="Arial"/>
          <w:sz w:val="24"/>
        </w:rPr>
        <w:t>验收人员信息见附件</w:t>
      </w:r>
      <w:r>
        <w:rPr>
          <w:rFonts w:ascii="Times New Roman" w:hAnsi="Times New Roman"/>
          <w:sz w:val="24"/>
        </w:rPr>
        <w:t>“</w:t>
      </w:r>
      <w:r>
        <w:rPr>
          <w:rFonts w:hint="eastAsia" w:ascii="Times New Roman" w:hAnsi="Arial"/>
          <w:sz w:val="24"/>
        </w:rPr>
        <w:t>余杭区星桥九年一贯制学校项目</w:t>
      </w:r>
      <w:r>
        <w:rPr>
          <w:rFonts w:ascii="Times New Roman" w:hAnsi="Arial"/>
          <w:sz w:val="24"/>
        </w:rPr>
        <w:t>竣工环境保护验收工作组签到表</w:t>
      </w:r>
      <w:r>
        <w:rPr>
          <w:rFonts w:ascii="Times New Roman" w:hAnsi="Times New Roman"/>
          <w:sz w:val="24"/>
        </w:rPr>
        <w:t>”</w:t>
      </w:r>
      <w:r>
        <w:rPr>
          <w:rFonts w:ascii="Times New Roman" w:hAnsi="Arial"/>
          <w:sz w:val="24"/>
        </w:rPr>
        <w:t>。</w:t>
      </w:r>
    </w:p>
    <w:p>
      <w:pPr>
        <w:spacing w:line="360" w:lineRule="auto"/>
        <w:ind w:firstLine="480" w:firstLineChars="200"/>
        <w:rPr>
          <w:rFonts w:ascii="Times New Roman" w:hAnsi="Times New Roman"/>
          <w:sz w:val="24"/>
          <w:highlight w:val="yellow"/>
        </w:rPr>
      </w:pPr>
    </w:p>
    <w:p>
      <w:pPr>
        <w:spacing w:line="360" w:lineRule="auto"/>
        <w:ind w:firstLine="480" w:firstLineChars="200"/>
        <w:rPr>
          <w:rFonts w:ascii="Times New Roman" w:hAnsi="Times New Roman"/>
          <w:sz w:val="24"/>
          <w:highlight w:val="yellow"/>
        </w:rPr>
      </w:pPr>
    </w:p>
    <w:p>
      <w:pPr>
        <w:spacing w:line="360" w:lineRule="auto"/>
        <w:ind w:firstLine="480" w:firstLineChars="200"/>
        <w:rPr>
          <w:rFonts w:ascii="Times New Roman" w:hAnsi="Times New Roman"/>
          <w:sz w:val="24"/>
          <w:highlight w:val="yellow"/>
        </w:rPr>
      </w:pPr>
    </w:p>
    <w:p>
      <w:pPr>
        <w:spacing w:line="360" w:lineRule="auto"/>
        <w:ind w:firstLine="200"/>
        <w:jc w:val="right"/>
        <w:rPr>
          <w:rFonts w:ascii="Times New Roman" w:hAnsi="Times New Roman"/>
          <w:sz w:val="24"/>
        </w:rPr>
      </w:pPr>
      <w:r>
        <w:rPr>
          <w:rFonts w:hint="eastAsia" w:ascii="Times New Roman" w:hAnsi="Arial"/>
          <w:b/>
          <w:bCs/>
          <w:sz w:val="24"/>
        </w:rPr>
        <w:t>杭州市临平区教育资产营运管理中心</w:t>
      </w:r>
    </w:p>
    <w:p>
      <w:pPr>
        <w:spacing w:line="360" w:lineRule="auto"/>
        <w:ind w:firstLine="480" w:firstLineChars="200"/>
        <w:jc w:val="right"/>
        <w:rPr>
          <w:rFonts w:ascii="Times New Roman" w:hAnsi="Times New Roman"/>
          <w:sz w:val="24"/>
        </w:rPr>
      </w:pPr>
      <w:r>
        <w:rPr>
          <w:rFonts w:ascii="Times New Roman" w:hAnsi="Times New Roman"/>
          <w:sz w:val="24"/>
        </w:rPr>
        <w:t xml:space="preserve"> </w:t>
      </w:r>
      <w:r>
        <w:rPr>
          <w:rFonts w:ascii="Times New Roman" w:hAnsi="Times New Roman"/>
          <w:sz w:val="24"/>
          <w:highlight w:val="yellow"/>
        </w:rPr>
        <w:t>2024</w:t>
      </w:r>
      <w:r>
        <w:rPr>
          <w:rFonts w:ascii="Times New Roman" w:hAnsi="Arial"/>
          <w:sz w:val="24"/>
          <w:highlight w:val="yellow"/>
        </w:rPr>
        <w:t>年</w:t>
      </w:r>
      <w:r>
        <w:rPr>
          <w:rFonts w:hint="eastAsia" w:ascii="Times New Roman" w:hAnsi="Times New Roman"/>
          <w:sz w:val="24"/>
          <w:highlight w:val="yellow"/>
        </w:rPr>
        <w:t>5</w:t>
      </w:r>
      <w:r>
        <w:rPr>
          <w:rFonts w:ascii="Times New Roman" w:hAnsi="Arial"/>
          <w:sz w:val="24"/>
          <w:highlight w:val="yellow"/>
        </w:rPr>
        <w:t>月</w:t>
      </w:r>
      <w:r>
        <w:rPr>
          <w:rFonts w:hint="eastAsia" w:ascii="Times New Roman" w:hAnsi="Times New Roman"/>
          <w:sz w:val="24"/>
          <w:highlight w:val="yellow"/>
        </w:rPr>
        <w:t>16</w:t>
      </w:r>
      <w:r>
        <w:rPr>
          <w:rFonts w:ascii="Times New Roman" w:hAnsi="Arial"/>
          <w:sz w:val="24"/>
          <w:highlight w:val="yellow"/>
        </w:rPr>
        <w:t>日</w:t>
      </w:r>
    </w:p>
    <w:bookmarkEnd w:id="54"/>
    <w:p>
      <w:pPr>
        <w:spacing w:beforeAutospacing="1" w:afterAutospacing="1"/>
        <w:jc w:val="left"/>
        <w:sectPr>
          <w:pgSz w:w="11906" w:h="16838"/>
          <w:pgMar w:top="1440" w:right="1361" w:bottom="1440" w:left="1361" w:header="709" w:footer="709" w:gutter="0"/>
          <w:pgNumType w:fmt="numberInDash"/>
          <w:cols w:space="720" w:num="1"/>
        </w:sectPr>
      </w:pPr>
    </w:p>
    <w:p>
      <w:pPr>
        <w:rPr>
          <w:rFonts w:ascii="Times New Roman" w:hAnsi="Times New Roman" w:cstheme="minorBidi"/>
        </w:rPr>
      </w:pPr>
    </w:p>
    <w:p>
      <w:pPr>
        <w:pStyle w:val="14"/>
        <w:ind w:left="480" w:leftChars="0"/>
        <w:jc w:val="center"/>
        <w:rPr>
          <w:rFonts w:ascii="Arial" w:hAnsi="Arial" w:cs="Arial"/>
          <w:sz w:val="32"/>
          <w:szCs w:val="32"/>
        </w:rPr>
      </w:pPr>
      <w:r>
        <w:rPr>
          <w:rFonts w:hint="eastAsia" w:ascii="Arial" w:hAnsi="Arial" w:cs="Arial"/>
          <w:sz w:val="32"/>
          <w:szCs w:val="32"/>
        </w:rPr>
        <w:t>余杭区星桥九年一贯制学校项目</w:t>
      </w:r>
    </w:p>
    <w:p>
      <w:pPr>
        <w:pStyle w:val="14"/>
        <w:ind w:left="480" w:leftChars="0"/>
        <w:jc w:val="center"/>
        <w:rPr>
          <w:rFonts w:ascii="Arial" w:hAnsi="Arial" w:cs="Arial"/>
          <w:sz w:val="32"/>
          <w:szCs w:val="32"/>
        </w:rPr>
      </w:pPr>
      <w:r>
        <w:rPr>
          <w:rFonts w:hint="eastAsia" w:ascii="Arial" w:hAnsi="Arial" w:cs="Arial"/>
          <w:sz w:val="32"/>
          <w:szCs w:val="32"/>
        </w:rPr>
        <w:t>竣工环境保护验收工作组签到单</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394"/>
        <w:gridCol w:w="1418"/>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r>
              <w:rPr>
                <w:rFonts w:hint="eastAsia"/>
                <w:kern w:val="0"/>
                <w:sz w:val="20"/>
              </w:rPr>
              <w:t>姓名</w:t>
            </w: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r>
              <w:rPr>
                <w:rFonts w:hint="eastAsia"/>
                <w:kern w:val="0"/>
                <w:sz w:val="20"/>
              </w:rPr>
              <w:t>工作单位</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r>
              <w:rPr>
                <w:rFonts w:hint="eastAsia"/>
                <w:kern w:val="0"/>
                <w:sz w:val="20"/>
              </w:rPr>
              <w:t>职称</w:t>
            </w:r>
            <w:r>
              <w:rPr>
                <w:kern w:val="0"/>
                <w:sz w:val="20"/>
              </w:rPr>
              <w:t>/</w:t>
            </w:r>
            <w:r>
              <w:rPr>
                <w:rFonts w:hint="eastAsia"/>
                <w:kern w:val="0"/>
                <w:sz w:val="20"/>
              </w:rPr>
              <w:t>职务</w:t>
            </w: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r>
              <w:rPr>
                <w:rFonts w:hint="eastAsia"/>
                <w:kern w:val="0"/>
                <w:sz w:val="2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r>
              <w:rPr>
                <w:rFonts w:hint="eastAsia" w:ascii="Arial" w:hAnsi="Arial" w:cs="Arial"/>
                <w:bCs/>
                <w:kern w:val="0"/>
                <w:sz w:val="20"/>
              </w:rPr>
              <w:t>杭州市临平区教育资产营运管理中心</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r>
              <w:rPr>
                <w:rFonts w:hint="eastAsia"/>
                <w:kern w:val="0"/>
                <w:sz w:val="20"/>
              </w:rPr>
              <w:t>杭州中环检测有限公司</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cstheme="minorBidi"/>
                <w:color w:val="FF0000"/>
                <w:kern w:val="0"/>
                <w:sz w:val="21"/>
                <w:szCs w:val="21"/>
              </w:rPr>
            </w:pPr>
            <w:r>
              <w:rPr>
                <w:rFonts w:hint="eastAsia" w:cstheme="minorBidi"/>
                <w:color w:val="FF0000"/>
                <w:kern w:val="0"/>
                <w:sz w:val="21"/>
                <w:szCs w:val="21"/>
              </w:rPr>
              <w:t>杭州市临平区星华实验学校</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cstheme="minorBidi"/>
                <w:kern w:val="0"/>
                <w:sz w:val="24"/>
              </w:rPr>
            </w:pPr>
          </w:p>
        </w:tc>
      </w:tr>
    </w:tbl>
    <w:p>
      <w:pPr>
        <w:rPr>
          <w:rFonts w:ascii="Times New Roman" w:hAnsi="Times New Roman" w:cstheme="minorBidi"/>
          <w:sz w:val="24"/>
        </w:rPr>
      </w:pPr>
    </w:p>
    <w:p>
      <w:pPr>
        <w:spacing w:beforeAutospacing="1" w:afterAutospacing="1"/>
        <w:jc w:val="left"/>
        <w:sectPr>
          <w:pgSz w:w="11906" w:h="16838"/>
          <w:pgMar w:top="1440" w:right="1361" w:bottom="1440" w:left="1361" w:header="709" w:footer="709" w:gutter="0"/>
          <w:pgNumType w:fmt="numberInDash"/>
          <w:cols w:space="720" w:num="1"/>
        </w:sectPr>
      </w:pPr>
    </w:p>
    <w:p>
      <w:pPr>
        <w:pStyle w:val="14"/>
        <w:ind w:left="480" w:leftChars="0"/>
        <w:rPr>
          <w:sz w:val="36"/>
          <w:szCs w:val="36"/>
        </w:rPr>
      </w:pPr>
    </w:p>
    <w:p>
      <w:pPr>
        <w:rPr>
          <w:sz w:val="36"/>
          <w:szCs w:val="36"/>
        </w:rPr>
      </w:pPr>
    </w:p>
    <w:p>
      <w:pPr>
        <w:pStyle w:val="14"/>
        <w:ind w:left="480" w:leftChars="0"/>
        <w:rPr>
          <w:sz w:val="36"/>
          <w:szCs w:val="36"/>
        </w:rPr>
      </w:pPr>
    </w:p>
    <w:p>
      <w:pPr>
        <w:pStyle w:val="14"/>
        <w:ind w:left="480" w:leftChars="0"/>
        <w:rPr>
          <w:sz w:val="36"/>
          <w:szCs w:val="36"/>
        </w:rPr>
      </w:pPr>
    </w:p>
    <w:p>
      <w:pPr>
        <w:pStyle w:val="14"/>
        <w:ind w:left="480" w:leftChars="0"/>
        <w:rPr>
          <w:sz w:val="36"/>
          <w:szCs w:val="36"/>
        </w:rPr>
      </w:pPr>
    </w:p>
    <w:p>
      <w:pPr>
        <w:pStyle w:val="14"/>
        <w:ind w:left="480" w:leftChars="0"/>
        <w:rPr>
          <w:sz w:val="36"/>
          <w:szCs w:val="36"/>
        </w:rPr>
      </w:pPr>
    </w:p>
    <w:p>
      <w:pPr>
        <w:pStyle w:val="13"/>
        <w:spacing w:line="360" w:lineRule="auto"/>
        <w:jc w:val="center"/>
        <w:outlineLvl w:val="0"/>
        <w:rPr>
          <w:rFonts w:ascii="宋体" w:cs="Arial"/>
          <w:b/>
          <w:sz w:val="48"/>
          <w:szCs w:val="28"/>
        </w:rPr>
      </w:pPr>
      <w:r>
        <w:rPr>
          <w:rFonts w:hint="eastAsia" w:ascii="宋体" w:cs="Arial"/>
          <w:b/>
          <w:sz w:val="48"/>
          <w:szCs w:val="28"/>
        </w:rPr>
        <w:t>第三部分：其他需要说明的事项</w:t>
      </w:r>
    </w:p>
    <w:p>
      <w:pPr>
        <w:pStyle w:val="14"/>
        <w:ind w:left="480" w:leftChars="0"/>
      </w:pPr>
    </w:p>
    <w:p/>
    <w:p>
      <w:pPr>
        <w:pStyle w:val="14"/>
        <w:ind w:left="480" w:leftChars="0"/>
      </w:pPr>
    </w:p>
    <w:p/>
    <w:p>
      <w:pPr>
        <w:spacing w:beforeAutospacing="1" w:afterAutospacing="1"/>
        <w:jc w:val="left"/>
        <w:sectPr>
          <w:pgSz w:w="11906" w:h="16838"/>
          <w:pgMar w:top="1440" w:right="1361" w:bottom="1440" w:left="1361" w:header="709" w:footer="709" w:gutter="0"/>
          <w:pgNumType w:fmt="numberInDash"/>
          <w:cols w:space="720" w:num="1"/>
        </w:sectPr>
      </w:pPr>
    </w:p>
    <w:p>
      <w:pPr>
        <w:spacing w:line="360" w:lineRule="auto"/>
        <w:jc w:val="center"/>
        <w:rPr>
          <w:rFonts w:ascii="Times New Roman" w:hAnsi="Times New Roman"/>
          <w:b/>
          <w:bCs/>
          <w:sz w:val="28"/>
        </w:rPr>
      </w:pPr>
      <w:r>
        <w:rPr>
          <w:rFonts w:ascii="Times New Roman" w:hAnsi="Arial"/>
          <w:b/>
          <w:bCs/>
          <w:sz w:val="28"/>
        </w:rPr>
        <w:t>杭州市临平区教育资产营运管理中心余杭区星桥九年一贯制学校项目竣工环境保护验收其他需要说明的事项</w:t>
      </w:r>
    </w:p>
    <w:p>
      <w:pPr>
        <w:snapToGrid w:val="0"/>
        <w:spacing w:line="360" w:lineRule="auto"/>
        <w:ind w:firstLine="480" w:firstLineChars="200"/>
        <w:rPr>
          <w:rFonts w:ascii="Times New Roman" w:hAnsi="Times New Roman"/>
          <w:sz w:val="24"/>
        </w:rPr>
      </w:pPr>
    </w:p>
    <w:p>
      <w:pPr>
        <w:snapToGrid w:val="0"/>
        <w:spacing w:line="360" w:lineRule="auto"/>
        <w:ind w:firstLine="480" w:firstLineChars="200"/>
        <w:rPr>
          <w:rFonts w:ascii="Times New Roman" w:hAnsi="Times New Roman"/>
          <w:sz w:val="24"/>
        </w:rPr>
      </w:pPr>
      <w:r>
        <w:rPr>
          <w:rFonts w:ascii="Times New Roman" w:hAnsi="Arial"/>
          <w:sz w:val="24"/>
        </w:rPr>
        <w:t>根据《建设项目竣工环境保护验收暂行办法》及《建设项目竣工环境保护验收技术指南污染影响类》等相关要求，对环境保护设施设计、施工和验收过程简况、除环境保护设施外的其他环境保护措施的落实情况及整改工作情况等作如下说明：</w:t>
      </w:r>
    </w:p>
    <w:p>
      <w:pPr>
        <w:spacing w:line="360" w:lineRule="auto"/>
        <w:jc w:val="left"/>
        <w:outlineLvl w:val="1"/>
        <w:rPr>
          <w:rFonts w:ascii="Times New Roman" w:hAnsi="Times New Roman" w:eastAsia="等线"/>
          <w:b/>
          <w:sz w:val="24"/>
        </w:rPr>
      </w:pPr>
      <w:r>
        <w:rPr>
          <w:rFonts w:ascii="Times New Roman" w:hAnsi="Times New Roman" w:eastAsia="等线"/>
          <w:b/>
          <w:sz w:val="24"/>
        </w:rPr>
        <w:t>1</w:t>
      </w:r>
      <w:r>
        <w:rPr>
          <w:rFonts w:ascii="Times New Roman" w:hAnsi="Arial" w:eastAsia="等线"/>
          <w:b/>
          <w:sz w:val="24"/>
        </w:rPr>
        <w:t>、环境保护设施设计、施工和验收过程简况</w:t>
      </w:r>
    </w:p>
    <w:p>
      <w:pPr>
        <w:spacing w:line="360" w:lineRule="auto"/>
        <w:jc w:val="left"/>
        <w:outlineLvl w:val="2"/>
        <w:rPr>
          <w:rFonts w:ascii="Times New Roman" w:hAnsi="Times New Roman" w:eastAsia="等线"/>
          <w:b/>
          <w:sz w:val="24"/>
        </w:rPr>
      </w:pPr>
      <w:r>
        <w:rPr>
          <w:rFonts w:ascii="Times New Roman" w:hAnsi="Times New Roman" w:eastAsia="等线"/>
          <w:b/>
          <w:sz w:val="24"/>
        </w:rPr>
        <w:t>1.1</w:t>
      </w:r>
      <w:r>
        <w:rPr>
          <w:rFonts w:ascii="Times New Roman" w:hAnsi="Arial" w:eastAsia="等线"/>
          <w:b/>
          <w:sz w:val="24"/>
        </w:rPr>
        <w:t>设计简况</w:t>
      </w:r>
    </w:p>
    <w:p>
      <w:pPr>
        <w:snapToGrid w:val="0"/>
        <w:spacing w:line="360" w:lineRule="auto"/>
        <w:ind w:firstLine="480" w:firstLineChars="200"/>
        <w:rPr>
          <w:rFonts w:ascii="Times New Roman" w:hAnsi="Times New Roman"/>
          <w:sz w:val="24"/>
        </w:rPr>
      </w:pPr>
      <w:r>
        <w:rPr>
          <w:rFonts w:hint="eastAsia" w:ascii="Times New Roman" w:hAnsi="Arial"/>
          <w:bCs/>
          <w:sz w:val="24"/>
        </w:rPr>
        <w:t>杭州市临平区教育资产营运管理中心余杭区星桥九年一贯制学校项</w:t>
      </w:r>
      <w:r>
        <w:rPr>
          <w:rFonts w:hint="eastAsia" w:ascii="Times New Roman" w:hAnsi="Arial"/>
          <w:b/>
          <w:bCs/>
          <w:sz w:val="24"/>
        </w:rPr>
        <w:t>目</w:t>
      </w:r>
      <w:r>
        <w:rPr>
          <w:rFonts w:ascii="Times New Roman" w:hAnsi="Arial"/>
          <w:sz w:val="24"/>
        </w:rPr>
        <w:t>为新建项目，实施地址位于杭州市</w:t>
      </w:r>
      <w:r>
        <w:rPr>
          <w:rFonts w:hint="eastAsia" w:ascii="Times New Roman" w:hAnsi="Arial"/>
          <w:sz w:val="24"/>
        </w:rPr>
        <w:t>临平</w:t>
      </w:r>
      <w:r>
        <w:rPr>
          <w:rFonts w:ascii="Times New Roman" w:hAnsi="Arial"/>
          <w:sz w:val="24"/>
        </w:rPr>
        <w:t>区</w:t>
      </w:r>
      <w:r>
        <w:rPr>
          <w:rFonts w:hint="eastAsia" w:ascii="Times New Roman" w:hAnsi="Arial"/>
          <w:sz w:val="24"/>
        </w:rPr>
        <w:t>临丁路66号</w:t>
      </w:r>
      <w:r>
        <w:rPr>
          <w:rFonts w:ascii="Times New Roman" w:hAnsi="Arial"/>
          <w:sz w:val="24"/>
        </w:rPr>
        <w:t>，用地面积</w:t>
      </w:r>
      <w:r>
        <w:rPr>
          <w:rFonts w:hint="eastAsia" w:ascii="Times New Roman" w:hAnsi="Times New Roman"/>
          <w:sz w:val="24"/>
        </w:rPr>
        <w:t>67588</w:t>
      </w:r>
      <w:r>
        <w:rPr>
          <w:rFonts w:ascii="Times New Roman" w:hAnsi="Arial"/>
          <w:sz w:val="24"/>
        </w:rPr>
        <w:t>平方米，建设1幢小学教学楼（含实验室、图书馆、多功能厅）、1幢初中教学楼（含实验室、综合楼、行政办公楼、阶梯教室）、1幢体育馆（含室内游泳池）、1个田径场、2个运动场、1个食堂，环评批复总建筑面积约</w:t>
      </w:r>
      <w:r>
        <w:rPr>
          <w:rFonts w:hint="eastAsia" w:ascii="Times New Roman" w:hAnsi="Times New Roman"/>
          <w:sz w:val="24"/>
        </w:rPr>
        <w:t>65372.67</w:t>
      </w:r>
      <w:r>
        <w:rPr>
          <w:rFonts w:ascii="Times New Roman" w:hAnsi="Arial"/>
          <w:sz w:val="24"/>
        </w:rPr>
        <w:t>平方米，其中地上建筑面积约为</w:t>
      </w:r>
      <w:r>
        <w:rPr>
          <w:rFonts w:hint="eastAsia" w:ascii="Times New Roman" w:hAnsi="Arial"/>
          <w:sz w:val="24"/>
        </w:rPr>
        <w:t>49369.95</w:t>
      </w:r>
      <w:r>
        <w:rPr>
          <w:rFonts w:ascii="Times New Roman" w:hAnsi="Arial"/>
          <w:sz w:val="24"/>
        </w:rPr>
        <w:t>平方米，地下建筑面积为</w:t>
      </w:r>
      <w:r>
        <w:rPr>
          <w:rFonts w:hint="eastAsia" w:ascii="Times New Roman" w:hAnsi="Arial"/>
          <w:sz w:val="24"/>
        </w:rPr>
        <w:t>16002.72</w:t>
      </w:r>
      <w:r>
        <w:rPr>
          <w:rFonts w:ascii="Times New Roman" w:hAnsi="Arial"/>
          <w:sz w:val="24"/>
        </w:rPr>
        <w:t>平方米，项目实际用地面积不变，总建筑面积</w:t>
      </w:r>
      <w:r>
        <w:rPr>
          <w:rFonts w:hint="eastAsia" w:ascii="Times New Roman" w:hAnsi="Times New Roman"/>
          <w:sz w:val="24"/>
        </w:rPr>
        <w:t>65947.65</w:t>
      </w:r>
      <w:r>
        <w:rPr>
          <w:rFonts w:ascii="Times New Roman" w:hAnsi="Arial"/>
          <w:sz w:val="24"/>
        </w:rPr>
        <w:t>平方米。建筑面积增加</w:t>
      </w:r>
      <w:r>
        <w:rPr>
          <w:rFonts w:hint="eastAsia" w:ascii="Times New Roman" w:hAnsi="Times New Roman"/>
          <w:sz w:val="24"/>
        </w:rPr>
        <w:t>574.98</w:t>
      </w:r>
      <w:r>
        <w:rPr>
          <w:rFonts w:ascii="Times New Roman" w:hAnsi="Times New Roman"/>
          <w:sz w:val="24"/>
        </w:rPr>
        <w:t>m</w:t>
      </w:r>
      <w:r>
        <w:rPr>
          <w:rFonts w:ascii="Times New Roman" w:hAnsi="Times New Roman"/>
          <w:sz w:val="24"/>
          <w:vertAlign w:val="superscript"/>
        </w:rPr>
        <w:t>2</w:t>
      </w:r>
      <w:r>
        <w:rPr>
          <w:rFonts w:ascii="Times New Roman" w:hAnsi="Arial"/>
          <w:sz w:val="24"/>
        </w:rPr>
        <w:t>，增加面积不到审批面积的</w:t>
      </w:r>
      <w:r>
        <w:rPr>
          <w:rFonts w:ascii="Times New Roman" w:hAnsi="Times New Roman"/>
          <w:sz w:val="24"/>
        </w:rPr>
        <w:t>10%</w:t>
      </w:r>
      <w:r>
        <w:rPr>
          <w:rFonts w:ascii="Times New Roman" w:hAnsi="Arial"/>
          <w:sz w:val="24"/>
        </w:rPr>
        <w:t>，各功能分类经济技术指标存在部分变动，不属于重大变动，符合竣工环境保护验收条件。</w:t>
      </w:r>
    </w:p>
    <w:p>
      <w:pPr>
        <w:snapToGrid w:val="0"/>
        <w:spacing w:line="360" w:lineRule="auto"/>
        <w:ind w:firstLine="480" w:firstLineChars="200"/>
        <w:rPr>
          <w:rFonts w:ascii="Times New Roman" w:hAnsi="Times New Roman"/>
          <w:sz w:val="24"/>
        </w:rPr>
      </w:pPr>
      <w:r>
        <w:rPr>
          <w:rFonts w:ascii="Times New Roman" w:hAnsi="Arial"/>
          <w:bCs/>
          <w:sz w:val="24"/>
        </w:rPr>
        <w:t>项目建设过程，根据</w:t>
      </w:r>
      <w:r>
        <w:rPr>
          <w:rFonts w:ascii="Times New Roman" w:hAnsi="Times New Roman"/>
          <w:bCs/>
          <w:sz w:val="24"/>
        </w:rPr>
        <w:t>“</w:t>
      </w:r>
      <w:r>
        <w:rPr>
          <w:rFonts w:ascii="Times New Roman" w:hAnsi="Arial"/>
          <w:bCs/>
          <w:sz w:val="24"/>
        </w:rPr>
        <w:t>三同时</w:t>
      </w:r>
      <w:r>
        <w:rPr>
          <w:rFonts w:ascii="Times New Roman" w:hAnsi="Times New Roman"/>
          <w:bCs/>
          <w:sz w:val="24"/>
        </w:rPr>
        <w:t>”</w:t>
      </w:r>
      <w:r>
        <w:rPr>
          <w:rFonts w:ascii="Times New Roman" w:hAnsi="Arial"/>
          <w:bCs/>
          <w:sz w:val="24"/>
        </w:rPr>
        <w:t>要求，已将建设项目的环境保护设计纳入工程设计中，</w:t>
      </w:r>
      <w:r>
        <w:rPr>
          <w:rFonts w:ascii="Times New Roman" w:hAnsi="Arial"/>
          <w:sz w:val="24"/>
        </w:rPr>
        <w:t>且符合环境保护设计规范的要求。根据环评及批复要求，建设项目已落实了各项污染防治措施。项目设计阶段，已将环保设施投资纳入项目整体工程概算；项目实际总投资</w:t>
      </w:r>
      <w:r>
        <w:rPr>
          <w:rFonts w:hint="eastAsia" w:ascii="Times New Roman" w:hAnsi="Times New Roman"/>
          <w:sz w:val="24"/>
        </w:rPr>
        <w:t>45500</w:t>
      </w:r>
      <w:r>
        <w:rPr>
          <w:rFonts w:ascii="Times New Roman" w:hAnsi="Arial"/>
          <w:sz w:val="24"/>
        </w:rPr>
        <w:t>万元，其中实际环保投资</w:t>
      </w:r>
      <w:r>
        <w:rPr>
          <w:rFonts w:hint="eastAsia" w:ascii="Times New Roman" w:hAnsi="Times New Roman"/>
          <w:sz w:val="24"/>
        </w:rPr>
        <w:t>310</w:t>
      </w:r>
      <w:r>
        <w:rPr>
          <w:rFonts w:ascii="Times New Roman" w:hAnsi="Arial"/>
          <w:sz w:val="24"/>
        </w:rPr>
        <w:t>万元，占投资总额的</w:t>
      </w:r>
      <w:r>
        <w:rPr>
          <w:rFonts w:ascii="Times New Roman" w:hAnsi="Times New Roman"/>
          <w:sz w:val="24"/>
        </w:rPr>
        <w:t>0.</w:t>
      </w:r>
      <w:r>
        <w:rPr>
          <w:rFonts w:hint="eastAsia" w:ascii="Times New Roman" w:hAnsi="Times New Roman"/>
          <w:sz w:val="24"/>
        </w:rPr>
        <w:t>68</w:t>
      </w:r>
      <w:r>
        <w:rPr>
          <w:rFonts w:ascii="Times New Roman" w:hAnsi="Times New Roman"/>
          <w:sz w:val="24"/>
        </w:rPr>
        <w:t>%</w:t>
      </w:r>
      <w:r>
        <w:rPr>
          <w:rFonts w:ascii="Times New Roman" w:hAnsi="Arial"/>
          <w:sz w:val="24"/>
        </w:rPr>
        <w:t>。</w:t>
      </w:r>
    </w:p>
    <w:p>
      <w:pPr>
        <w:spacing w:line="360" w:lineRule="auto"/>
        <w:jc w:val="left"/>
        <w:outlineLvl w:val="2"/>
        <w:rPr>
          <w:rFonts w:ascii="Times New Roman" w:hAnsi="Times New Roman" w:eastAsia="等线"/>
          <w:b/>
          <w:sz w:val="24"/>
        </w:rPr>
      </w:pPr>
      <w:r>
        <w:rPr>
          <w:rFonts w:ascii="Times New Roman" w:hAnsi="Times New Roman" w:eastAsia="等线"/>
          <w:b/>
          <w:sz w:val="24"/>
        </w:rPr>
        <w:t>1.2.</w:t>
      </w:r>
      <w:r>
        <w:rPr>
          <w:rFonts w:ascii="Times New Roman" w:hAnsi="Arial" w:eastAsia="等线"/>
          <w:b/>
          <w:sz w:val="24"/>
        </w:rPr>
        <w:t>施工简况</w:t>
      </w:r>
    </w:p>
    <w:p>
      <w:pPr>
        <w:snapToGrid w:val="0"/>
        <w:spacing w:line="360" w:lineRule="auto"/>
        <w:ind w:firstLine="480" w:firstLineChars="200"/>
        <w:rPr>
          <w:rFonts w:ascii="Times New Roman" w:hAnsi="Times New Roman"/>
          <w:sz w:val="24"/>
        </w:rPr>
      </w:pPr>
      <w:bookmarkStart w:id="57" w:name="_Toc22943"/>
      <w:r>
        <w:rPr>
          <w:rFonts w:ascii="Times New Roman" w:hAnsi="Arial"/>
          <w:sz w:val="24"/>
        </w:rPr>
        <w:t>建设项目实施过程严格按</w:t>
      </w:r>
      <w:r>
        <w:rPr>
          <w:rFonts w:ascii="Times New Roman" w:hAnsi="Times New Roman"/>
          <w:sz w:val="24"/>
        </w:rPr>
        <w:t>“</w:t>
      </w:r>
      <w:r>
        <w:rPr>
          <w:rFonts w:ascii="Times New Roman" w:hAnsi="Arial"/>
          <w:sz w:val="24"/>
        </w:rPr>
        <w:t>三同时</w:t>
      </w:r>
      <w:r>
        <w:rPr>
          <w:rFonts w:ascii="Times New Roman" w:hAnsi="Times New Roman"/>
          <w:sz w:val="24"/>
        </w:rPr>
        <w:t>”</w:t>
      </w:r>
      <w:r>
        <w:rPr>
          <w:rFonts w:ascii="Times New Roman" w:hAnsi="Arial"/>
          <w:sz w:val="24"/>
        </w:rPr>
        <w:t>的要求，确保环境保护设施的建设与主体工程同时施工，环境影响报告表及其审批部门审批决定中提出的环境保护对策措施均已与主体工程同时施工完成。</w:t>
      </w:r>
    </w:p>
    <w:bookmarkEnd w:id="57"/>
    <w:p>
      <w:pPr>
        <w:spacing w:line="360" w:lineRule="auto"/>
        <w:jc w:val="left"/>
        <w:outlineLvl w:val="2"/>
        <w:rPr>
          <w:rFonts w:ascii="Times New Roman" w:hAnsi="Times New Roman" w:eastAsia="等线"/>
          <w:b/>
          <w:sz w:val="24"/>
        </w:rPr>
      </w:pPr>
      <w:bookmarkStart w:id="58" w:name="_Toc11650"/>
      <w:r>
        <w:rPr>
          <w:rFonts w:ascii="Times New Roman" w:hAnsi="Times New Roman" w:eastAsia="等线"/>
          <w:b/>
          <w:sz w:val="24"/>
        </w:rPr>
        <w:t>1.3.</w:t>
      </w:r>
      <w:r>
        <w:rPr>
          <w:rFonts w:ascii="Times New Roman" w:hAnsi="Arial" w:eastAsia="等线"/>
          <w:b/>
          <w:sz w:val="24"/>
        </w:rPr>
        <w:t>验收过程简况</w:t>
      </w:r>
      <w:bookmarkEnd w:id="58"/>
    </w:p>
    <w:p>
      <w:pPr>
        <w:snapToGrid w:val="0"/>
        <w:spacing w:line="360" w:lineRule="auto"/>
        <w:ind w:firstLine="480" w:firstLineChars="200"/>
        <w:rPr>
          <w:rFonts w:ascii="Times New Roman" w:hAnsi="Times New Roman"/>
          <w:color w:val="FF0000"/>
          <w:sz w:val="24"/>
          <w:szCs w:val="24"/>
          <w:highlight w:val="yellow"/>
        </w:rPr>
      </w:pPr>
      <w:bookmarkStart w:id="59" w:name="_Toc22341"/>
      <w:r>
        <w:rPr>
          <w:rFonts w:ascii="Times New Roman" w:hAnsi="Arial"/>
          <w:color w:val="FF0000"/>
          <w:sz w:val="24"/>
          <w:szCs w:val="24"/>
          <w:highlight w:val="yellow"/>
        </w:rPr>
        <w:t>原</w:t>
      </w:r>
      <w:r>
        <w:rPr>
          <w:rFonts w:ascii="Times New Roman" w:hAnsi="Arial"/>
          <w:bCs/>
          <w:color w:val="FF0000"/>
          <w:sz w:val="24"/>
          <w:szCs w:val="24"/>
          <w:highlight w:val="yellow"/>
        </w:rPr>
        <w:t>杭州市</w:t>
      </w:r>
      <w:r>
        <w:rPr>
          <w:rFonts w:hint="eastAsia" w:ascii="Times New Roman" w:hAnsi="Arial"/>
          <w:bCs/>
          <w:color w:val="FF0000"/>
          <w:sz w:val="24"/>
          <w:szCs w:val="24"/>
          <w:highlight w:val="yellow"/>
        </w:rPr>
        <w:t>余杭</w:t>
      </w:r>
      <w:r>
        <w:rPr>
          <w:rFonts w:ascii="Times New Roman" w:hAnsi="Arial"/>
          <w:bCs/>
          <w:color w:val="FF0000"/>
          <w:sz w:val="24"/>
          <w:szCs w:val="24"/>
          <w:highlight w:val="yellow"/>
        </w:rPr>
        <w:t>区教育资产营运管理中心</w:t>
      </w:r>
      <w:r>
        <w:rPr>
          <w:color w:val="FF0000"/>
          <w:sz w:val="24"/>
          <w:szCs w:val="24"/>
        </w:rPr>
        <w:t>委托煤科集团杭州环保研究院有限公司编制的《</w:t>
      </w:r>
      <w:r>
        <w:rPr>
          <w:bCs/>
          <w:color w:val="FF0000"/>
          <w:sz w:val="24"/>
          <w:szCs w:val="24"/>
        </w:rPr>
        <w:t>余杭区星桥九年一贯制学校项目</w:t>
      </w:r>
      <w:r>
        <w:rPr>
          <w:color w:val="FF0000"/>
          <w:sz w:val="24"/>
          <w:szCs w:val="24"/>
        </w:rPr>
        <w:t>环境影响报告表》</w:t>
      </w:r>
      <w:r>
        <w:rPr>
          <w:rFonts w:hint="eastAsia" w:cs="Arial"/>
          <w:color w:val="FF0000"/>
          <w:sz w:val="24"/>
          <w:szCs w:val="24"/>
        </w:rPr>
        <w:t>，</w:t>
      </w:r>
      <w:r>
        <w:rPr>
          <w:rFonts w:cs="Arial"/>
          <w:color w:val="FF0000"/>
          <w:sz w:val="24"/>
          <w:szCs w:val="24"/>
        </w:rPr>
        <w:t>201</w:t>
      </w:r>
      <w:r>
        <w:rPr>
          <w:rFonts w:hint="eastAsia" w:cs="Arial"/>
          <w:color w:val="FF0000"/>
          <w:sz w:val="24"/>
          <w:szCs w:val="24"/>
        </w:rPr>
        <w:t>8年</w:t>
      </w:r>
      <w:r>
        <w:rPr>
          <w:rFonts w:hint="eastAsia" w:ascii="Times New Roman" w:hAnsi="Arial"/>
          <w:color w:val="FF0000"/>
          <w:sz w:val="24"/>
          <w:szCs w:val="24"/>
          <w:highlight w:val="yellow"/>
        </w:rPr>
        <w:t>原</w:t>
      </w:r>
      <w:r>
        <w:rPr>
          <w:rFonts w:ascii="Times New Roman" w:hAnsi="Arial"/>
          <w:color w:val="FF0000"/>
          <w:sz w:val="24"/>
          <w:szCs w:val="24"/>
          <w:highlight w:val="yellow"/>
        </w:rPr>
        <w:t>杭州市</w:t>
      </w:r>
      <w:r>
        <w:rPr>
          <w:rFonts w:hint="eastAsia" w:ascii="Times New Roman" w:hAnsi="Arial"/>
          <w:color w:val="FF0000"/>
          <w:sz w:val="24"/>
          <w:szCs w:val="24"/>
          <w:highlight w:val="yellow"/>
        </w:rPr>
        <w:t>余杭</w:t>
      </w:r>
      <w:r>
        <w:rPr>
          <w:rFonts w:hint="eastAsia" w:ascii="Times New Roman" w:hAnsi="Arial"/>
          <w:color w:val="FF0000"/>
          <w:sz w:val="24"/>
          <w:szCs w:val="24"/>
          <w:highlight w:val="yellow"/>
          <w:lang w:val="en-US" w:eastAsia="zh-CN"/>
        </w:rPr>
        <w:t>区</w:t>
      </w:r>
      <w:r>
        <w:rPr>
          <w:rFonts w:ascii="Times New Roman" w:hAnsi="Arial"/>
          <w:color w:val="FF0000"/>
          <w:sz w:val="24"/>
          <w:szCs w:val="24"/>
          <w:highlight w:val="yellow"/>
        </w:rPr>
        <w:t>环境保护局</w:t>
      </w:r>
      <w:r>
        <w:rPr>
          <w:rFonts w:hint="eastAsia" w:cs="Arial"/>
          <w:color w:val="FF0000"/>
          <w:sz w:val="24"/>
          <w:szCs w:val="24"/>
        </w:rPr>
        <w:t>以</w:t>
      </w:r>
      <w:r>
        <w:rPr>
          <w:color w:val="FF0000"/>
          <w:sz w:val="24"/>
          <w:szCs w:val="24"/>
        </w:rPr>
        <w:t>环评批复〔2018〕256号</w:t>
      </w:r>
      <w:r>
        <w:rPr>
          <w:rFonts w:hint="eastAsia" w:cs="Arial"/>
          <w:color w:val="FF0000"/>
          <w:sz w:val="24"/>
          <w:szCs w:val="24"/>
        </w:rPr>
        <w:t>文对项目环评报告表进行了批复。</w:t>
      </w:r>
    </w:p>
    <w:p>
      <w:pPr>
        <w:snapToGrid w:val="0"/>
        <w:spacing w:line="360" w:lineRule="auto"/>
        <w:ind w:firstLine="480" w:firstLineChars="200"/>
        <w:rPr>
          <w:rFonts w:ascii="Times New Roman" w:hAnsi="Times New Roman"/>
          <w:color w:val="FF0000"/>
          <w:sz w:val="24"/>
        </w:rPr>
      </w:pPr>
      <w:r>
        <w:rPr>
          <w:rFonts w:hint="eastAsia" w:ascii="Times New Roman" w:hAnsi="Arial"/>
          <w:color w:val="FF0000"/>
          <w:sz w:val="24"/>
        </w:rPr>
        <w:t>建设项目自</w:t>
      </w:r>
      <w:r>
        <w:rPr>
          <w:rFonts w:ascii="Times New Roman" w:hAnsi="Arial"/>
          <w:color w:val="FF0000"/>
          <w:sz w:val="24"/>
        </w:rPr>
        <w:t>201</w:t>
      </w:r>
      <w:r>
        <w:rPr>
          <w:rFonts w:hint="eastAsia" w:ascii="Times New Roman" w:hAnsi="Arial"/>
          <w:color w:val="FF0000"/>
          <w:sz w:val="24"/>
        </w:rPr>
        <w:t>8年10月开工建设，</w:t>
      </w:r>
      <w:r>
        <w:rPr>
          <w:rFonts w:ascii="Times New Roman" w:hAnsi="Arial"/>
          <w:color w:val="FF0000"/>
          <w:sz w:val="24"/>
        </w:rPr>
        <w:t>202</w:t>
      </w:r>
      <w:r>
        <w:rPr>
          <w:rFonts w:hint="eastAsia" w:ascii="Times New Roman" w:hAnsi="Arial"/>
          <w:color w:val="FF0000"/>
          <w:sz w:val="24"/>
          <w:lang w:val="en-US" w:eastAsia="zh-CN"/>
        </w:rPr>
        <w:t>0</w:t>
      </w:r>
      <w:r>
        <w:rPr>
          <w:rFonts w:hint="eastAsia" w:ascii="Times New Roman" w:hAnsi="Arial"/>
          <w:color w:val="FF0000"/>
          <w:sz w:val="24"/>
        </w:rPr>
        <w:t>年</w:t>
      </w:r>
      <w:r>
        <w:rPr>
          <w:rFonts w:hint="eastAsia" w:ascii="Times New Roman" w:hAnsi="Arial"/>
          <w:color w:val="FF0000"/>
          <w:sz w:val="24"/>
          <w:lang w:val="en-US" w:eastAsia="zh-CN"/>
        </w:rPr>
        <w:t>6</w:t>
      </w:r>
      <w:r>
        <w:rPr>
          <w:rFonts w:hint="eastAsia" w:ascii="Times New Roman" w:hAnsi="Arial"/>
          <w:color w:val="FF0000"/>
          <w:sz w:val="24"/>
        </w:rPr>
        <w:t>月竣工，目前学校配套的环保设施运行基本正常</w:t>
      </w:r>
      <w:r>
        <w:rPr>
          <w:rFonts w:ascii="Times New Roman" w:hAnsi="Arial"/>
          <w:color w:val="FF0000"/>
          <w:sz w:val="24"/>
        </w:rPr>
        <w:t>。</w:t>
      </w:r>
    </w:p>
    <w:p>
      <w:pPr>
        <w:snapToGrid w:val="0"/>
        <w:spacing w:line="360" w:lineRule="auto"/>
        <w:ind w:firstLine="480" w:firstLineChars="200"/>
        <w:rPr>
          <w:rFonts w:ascii="Times New Roman" w:hAnsi="Times New Roman"/>
          <w:sz w:val="24"/>
        </w:rPr>
      </w:pPr>
      <w:r>
        <w:rPr>
          <w:rFonts w:ascii="Times New Roman" w:hAnsi="Arial"/>
          <w:sz w:val="24"/>
        </w:rPr>
        <w:t>杭州中环检测有限公司于</w:t>
      </w:r>
      <w:r>
        <w:rPr>
          <w:rFonts w:ascii="Times New Roman" w:hAnsi="Times New Roman"/>
          <w:sz w:val="24"/>
        </w:rPr>
        <w:t>202</w:t>
      </w:r>
      <w:r>
        <w:rPr>
          <w:rFonts w:hint="eastAsia" w:ascii="Times New Roman" w:hAnsi="Times New Roman"/>
          <w:sz w:val="24"/>
        </w:rPr>
        <w:t>4</w:t>
      </w:r>
      <w:r>
        <w:rPr>
          <w:rFonts w:ascii="Times New Roman" w:hAnsi="Arial"/>
          <w:sz w:val="24"/>
        </w:rPr>
        <w:t>年</w:t>
      </w:r>
      <w:r>
        <w:rPr>
          <w:rFonts w:hint="eastAsia" w:ascii="Times New Roman" w:hAnsi="Times New Roman"/>
          <w:sz w:val="24"/>
        </w:rPr>
        <w:t>5</w:t>
      </w:r>
      <w:r>
        <w:rPr>
          <w:rFonts w:ascii="Times New Roman" w:hAnsi="Arial"/>
          <w:sz w:val="24"/>
        </w:rPr>
        <w:t>月对本项目废水、废气、噪声等污染源进行了样品采集和现场监测。在监测调查结果和建设单位提供的相关资料基础上，编制了本验收监测报告。</w:t>
      </w:r>
    </w:p>
    <w:p>
      <w:pPr>
        <w:snapToGrid w:val="0"/>
        <w:spacing w:line="360" w:lineRule="auto"/>
        <w:ind w:firstLine="480" w:firstLineChars="200"/>
        <w:rPr>
          <w:rFonts w:ascii="Times New Roman" w:hAnsi="Times New Roman"/>
          <w:sz w:val="24"/>
        </w:rPr>
      </w:pPr>
      <w:r>
        <w:rPr>
          <w:rFonts w:ascii="Times New Roman" w:hAnsi="Times New Roman"/>
          <w:sz w:val="24"/>
        </w:rPr>
        <w:t>2024</w:t>
      </w:r>
      <w:r>
        <w:rPr>
          <w:rFonts w:ascii="Times New Roman" w:hAnsi="Arial"/>
          <w:sz w:val="24"/>
        </w:rPr>
        <w:t>年</w:t>
      </w:r>
      <w:r>
        <w:rPr>
          <w:rFonts w:hint="eastAsia" w:ascii="Times New Roman" w:hAnsi="Times New Roman"/>
          <w:sz w:val="24"/>
        </w:rPr>
        <w:t>5</w:t>
      </w:r>
      <w:r>
        <w:rPr>
          <w:rFonts w:ascii="Times New Roman" w:hAnsi="Arial"/>
          <w:sz w:val="24"/>
        </w:rPr>
        <w:t>月</w:t>
      </w:r>
      <w:r>
        <w:rPr>
          <w:rFonts w:hint="eastAsia" w:ascii="Times New Roman" w:hAnsi="Times New Roman"/>
          <w:sz w:val="24"/>
        </w:rPr>
        <w:t>16</w:t>
      </w:r>
      <w:r>
        <w:rPr>
          <w:rFonts w:ascii="Times New Roman" w:hAnsi="Arial"/>
          <w:sz w:val="24"/>
        </w:rPr>
        <w:t>日，</w:t>
      </w:r>
      <w:r>
        <w:rPr>
          <w:rFonts w:hint="eastAsia" w:ascii="Times New Roman" w:hAnsi="Arial"/>
          <w:sz w:val="24"/>
        </w:rPr>
        <w:t>杭州市临平区教育资产营运管理中心</w:t>
      </w:r>
      <w:r>
        <w:rPr>
          <w:rFonts w:ascii="Times New Roman" w:hAnsi="Arial"/>
          <w:sz w:val="24"/>
        </w:rPr>
        <w:t>成立了验收工作组并召开了验收会议；工作组在现场核查和对验收监测报告内容核查的基础上，严格依照国家有关法律法规、建设项目竣工环境保护验收技术规范、建设项目环境影响报告表及其审批部门审批决定等要求对建设项目配套建设的环境保护设施进行了验收，形成了的验收意见，意见中确定的验收结论为：</w:t>
      </w:r>
      <w:r>
        <w:rPr>
          <w:rFonts w:hint="eastAsia" w:ascii="Times New Roman" w:hAnsi="Arial"/>
          <w:sz w:val="24"/>
        </w:rPr>
        <w:t>杭州市临平区教育资产营运管理中心</w:t>
      </w:r>
      <w:r>
        <w:rPr>
          <w:rFonts w:hint="eastAsia" w:ascii="Times New Roman" w:hAnsi="Arial"/>
          <w:bCs/>
          <w:sz w:val="24"/>
        </w:rPr>
        <w:t>余杭区星桥九年一贯制学校</w:t>
      </w:r>
      <w:r>
        <w:rPr>
          <w:rFonts w:ascii="Times New Roman" w:hAnsi="Arial"/>
          <w:sz w:val="24"/>
          <w:lang w:val="zh-CN"/>
        </w:rPr>
        <w:t>项目环保手续完备，验收资料基本齐全，环境保护措施均已按照环评及批复的要求建成，建立了较为规范的环保管理制度，各主要污染物指标达到相应污染物排放标准的要求，总量符合环评及批复要求，没有《建设项目竣工环境保护验收暂行办法》（国环规环评</w:t>
      </w:r>
      <w:r>
        <w:rPr>
          <w:rFonts w:ascii="Times New Roman" w:hAnsi="Times New Roman"/>
          <w:sz w:val="24"/>
          <w:lang w:val="zh-CN"/>
        </w:rPr>
        <w:t>[2017]4</w:t>
      </w:r>
      <w:r>
        <w:rPr>
          <w:rFonts w:ascii="Times New Roman" w:hAnsi="Arial"/>
          <w:sz w:val="24"/>
          <w:lang w:val="zh-CN"/>
        </w:rPr>
        <w:t>号）中所规定的验收不合格情形，验收组同意该项目通过竣工环境保护验收。</w:t>
      </w:r>
    </w:p>
    <w:bookmarkEnd w:id="59"/>
    <w:p>
      <w:pPr>
        <w:spacing w:line="360" w:lineRule="auto"/>
        <w:jc w:val="left"/>
        <w:outlineLvl w:val="2"/>
        <w:rPr>
          <w:rFonts w:ascii="Times New Roman" w:hAnsi="Times New Roman" w:eastAsia="等线"/>
          <w:b/>
          <w:sz w:val="24"/>
        </w:rPr>
      </w:pPr>
      <w:bookmarkStart w:id="60" w:name="_Toc5227"/>
      <w:r>
        <w:rPr>
          <w:rFonts w:ascii="Times New Roman" w:hAnsi="Times New Roman" w:eastAsia="等线"/>
          <w:b/>
          <w:sz w:val="24"/>
        </w:rPr>
        <w:t>1.4</w:t>
      </w:r>
      <w:r>
        <w:rPr>
          <w:rFonts w:ascii="Times New Roman" w:hAnsi="Arial" w:eastAsia="等线"/>
          <w:b/>
          <w:sz w:val="24"/>
        </w:rPr>
        <w:t>公众反馈意见及处理情况</w:t>
      </w:r>
      <w:bookmarkEnd w:id="60"/>
    </w:p>
    <w:p>
      <w:pPr>
        <w:snapToGrid w:val="0"/>
        <w:spacing w:line="360" w:lineRule="auto"/>
        <w:ind w:firstLine="480" w:firstLineChars="200"/>
        <w:rPr>
          <w:rFonts w:ascii="Times New Roman" w:hAnsi="Times New Roman" w:eastAsia="等线"/>
          <w:sz w:val="24"/>
        </w:rPr>
      </w:pPr>
      <w:bookmarkStart w:id="61" w:name="_Toc28058"/>
      <w:r>
        <w:rPr>
          <w:rFonts w:ascii="Times New Roman" w:hAnsi="Arial"/>
          <w:sz w:val="24"/>
        </w:rPr>
        <w:t>建设项目在设计、施工和验收期间未收到过公众反馈意见或投诉。</w:t>
      </w:r>
      <w:bookmarkEnd w:id="61"/>
    </w:p>
    <w:p>
      <w:pPr>
        <w:spacing w:line="360" w:lineRule="auto"/>
        <w:jc w:val="left"/>
        <w:outlineLvl w:val="1"/>
        <w:rPr>
          <w:rFonts w:ascii="Times New Roman" w:hAnsi="Times New Roman" w:eastAsia="等线"/>
          <w:b/>
          <w:sz w:val="24"/>
        </w:rPr>
      </w:pPr>
      <w:bookmarkStart w:id="62" w:name="_Toc12373"/>
      <w:r>
        <w:rPr>
          <w:rFonts w:ascii="Times New Roman" w:hAnsi="Times New Roman" w:eastAsia="等线"/>
          <w:b/>
          <w:sz w:val="24"/>
        </w:rPr>
        <w:t>2</w:t>
      </w:r>
      <w:r>
        <w:rPr>
          <w:rFonts w:ascii="Times New Roman" w:hAnsi="Arial" w:eastAsia="等线"/>
          <w:b/>
          <w:sz w:val="24"/>
        </w:rPr>
        <w:t>、其他环境保护措施的落实情况</w:t>
      </w:r>
    </w:p>
    <w:p>
      <w:pPr>
        <w:spacing w:line="360" w:lineRule="auto"/>
        <w:jc w:val="left"/>
        <w:outlineLvl w:val="2"/>
        <w:rPr>
          <w:rFonts w:ascii="Times New Roman" w:hAnsi="Times New Roman" w:eastAsia="等线"/>
          <w:b/>
          <w:sz w:val="24"/>
        </w:rPr>
      </w:pPr>
      <w:r>
        <w:rPr>
          <w:rFonts w:ascii="Times New Roman" w:hAnsi="Times New Roman" w:eastAsia="等线"/>
          <w:b/>
          <w:sz w:val="24"/>
        </w:rPr>
        <w:t>2.1</w:t>
      </w:r>
      <w:r>
        <w:rPr>
          <w:rFonts w:ascii="Times New Roman" w:hAnsi="Arial" w:eastAsia="等线"/>
          <w:b/>
          <w:sz w:val="24"/>
        </w:rPr>
        <w:t>制度措施落实情况</w:t>
      </w:r>
      <w:bookmarkEnd w:id="62"/>
    </w:p>
    <w:p>
      <w:pPr>
        <w:snapToGrid w:val="0"/>
        <w:spacing w:line="360" w:lineRule="auto"/>
        <w:ind w:firstLine="480" w:firstLineChars="200"/>
        <w:rPr>
          <w:rFonts w:ascii="Times New Roman" w:hAnsi="Times New Roman"/>
          <w:sz w:val="24"/>
        </w:rPr>
      </w:pPr>
      <w:bookmarkStart w:id="63" w:name="_Toc15545"/>
      <w:r>
        <w:rPr>
          <w:rFonts w:ascii="Times New Roman" w:hAnsi="Arial"/>
          <w:sz w:val="24"/>
        </w:rPr>
        <w:t>企业目前已建立了相关环境管理体系，并按要求成立了环保组织机构，明确了机构相关人员组成及职责分工；同时根据管理要求，制定了环境目标管理方案、水气声污染控制程序、固化废物控制程序、环境改进程序、文件及记录管理程序、教育训练管理程序等相应的环境管理及风险防控应急措施制度；同时各个岗位制定了相应的作业指导书，以指导和规范企业日常的运营管理。</w:t>
      </w:r>
    </w:p>
    <w:p>
      <w:pPr>
        <w:spacing w:line="360" w:lineRule="auto"/>
        <w:jc w:val="left"/>
        <w:outlineLvl w:val="2"/>
        <w:rPr>
          <w:rFonts w:ascii="Times New Roman" w:hAnsi="Times New Roman" w:eastAsia="等线"/>
          <w:b/>
          <w:sz w:val="24"/>
        </w:rPr>
      </w:pPr>
      <w:r>
        <w:rPr>
          <w:rFonts w:ascii="Times New Roman" w:hAnsi="Times New Roman" w:eastAsia="等线"/>
          <w:b/>
          <w:sz w:val="24"/>
        </w:rPr>
        <w:t>2.2</w:t>
      </w:r>
      <w:r>
        <w:rPr>
          <w:rFonts w:ascii="Times New Roman" w:hAnsi="Arial" w:eastAsia="等线"/>
          <w:b/>
          <w:sz w:val="24"/>
        </w:rPr>
        <w:t>配套措施落实情况</w:t>
      </w:r>
    </w:p>
    <w:p>
      <w:pPr>
        <w:snapToGrid w:val="0"/>
        <w:spacing w:line="360" w:lineRule="auto"/>
        <w:ind w:firstLine="360" w:firstLineChars="150"/>
        <w:rPr>
          <w:rFonts w:ascii="Times New Roman" w:hAnsi="Times New Roman"/>
          <w:sz w:val="24"/>
        </w:rPr>
      </w:pPr>
      <w:r>
        <w:rPr>
          <w:rFonts w:ascii="Times New Roman" w:hAnsi="Arial"/>
          <w:sz w:val="24"/>
        </w:rPr>
        <w:t>根据监测报告，本项目实施后废水</w:t>
      </w:r>
      <w:r>
        <w:rPr>
          <w:rFonts w:ascii="Times New Roman" w:hAnsi="Times New Roman"/>
          <w:sz w:val="24"/>
        </w:rPr>
        <w:t>COD</w:t>
      </w:r>
      <w:r>
        <w:rPr>
          <w:rFonts w:ascii="Times New Roman" w:hAnsi="Arial"/>
          <w:sz w:val="24"/>
        </w:rPr>
        <w:t>、氨氮，废气二氧化硫、氮氧化物、颗粒物、油烟废气等污染物均能达标排放。</w:t>
      </w:r>
    </w:p>
    <w:p>
      <w:pPr>
        <w:spacing w:line="360" w:lineRule="auto"/>
        <w:jc w:val="left"/>
        <w:outlineLvl w:val="1"/>
        <w:rPr>
          <w:rFonts w:ascii="Times New Roman" w:hAnsi="Times New Roman" w:eastAsia="等线"/>
          <w:b/>
          <w:sz w:val="24"/>
        </w:rPr>
      </w:pPr>
      <w:r>
        <w:rPr>
          <w:rFonts w:ascii="Times New Roman" w:hAnsi="Times New Roman" w:eastAsia="等线"/>
          <w:b/>
          <w:sz w:val="24"/>
        </w:rPr>
        <w:t>3</w:t>
      </w:r>
      <w:r>
        <w:rPr>
          <w:rFonts w:ascii="Times New Roman" w:hAnsi="Arial" w:eastAsia="等线"/>
          <w:b/>
          <w:sz w:val="24"/>
        </w:rPr>
        <w:t>、整改情况</w:t>
      </w:r>
    </w:p>
    <w:p>
      <w:pPr>
        <w:snapToGrid w:val="0"/>
        <w:spacing w:line="360" w:lineRule="auto"/>
        <w:ind w:firstLine="480" w:firstLineChars="200"/>
        <w:rPr>
          <w:rFonts w:ascii="Times New Roman" w:hAnsi="Times New Roman"/>
          <w:sz w:val="24"/>
        </w:rPr>
      </w:pPr>
      <w:r>
        <w:rPr>
          <w:rFonts w:ascii="Times New Roman" w:hAnsi="Arial"/>
          <w:sz w:val="24"/>
        </w:rPr>
        <w:t>项目已落实各项污染防治措施，进一步加强企业废水、废气、固废等各项环保设施的运行管理和维护工作，规范环保设施操作规程，定期开展设备维护，确保各类环保设施正常运行，完善环保</w:t>
      </w:r>
      <w:bookmarkEnd w:id="63"/>
      <w:r>
        <w:rPr>
          <w:rFonts w:ascii="Times New Roman"/>
          <w:sz w:val="24"/>
        </w:rPr>
        <w:t>设施标识标牌、操作规程和废气管路走向标识等</w:t>
      </w:r>
    </w:p>
    <w:p>
      <w:pPr>
        <w:snapToGrid w:val="0"/>
        <w:spacing w:line="360" w:lineRule="auto"/>
        <w:ind w:firstLine="480" w:firstLineChars="200"/>
        <w:rPr>
          <w:rFonts w:ascii="Times New Roman" w:hAnsi="Times New Roman"/>
          <w:sz w:val="24"/>
        </w:rPr>
      </w:pPr>
    </w:p>
    <w:p>
      <w:pPr>
        <w:snapToGrid w:val="0"/>
        <w:spacing w:line="360" w:lineRule="auto"/>
        <w:ind w:firstLine="482" w:firstLineChars="200"/>
        <w:jc w:val="right"/>
        <w:rPr>
          <w:rFonts w:ascii="Times New Roman" w:hAnsi="Times New Roman"/>
          <w:b/>
          <w:bCs/>
          <w:sz w:val="24"/>
        </w:rPr>
      </w:pPr>
      <w:r>
        <w:rPr>
          <w:rFonts w:ascii="Times New Roman" w:hAnsi="Arial"/>
          <w:b/>
          <w:bCs/>
          <w:sz w:val="24"/>
        </w:rPr>
        <w:t>杭州市临平区教育资产营运管理中心</w:t>
      </w:r>
    </w:p>
    <w:p>
      <w:pPr>
        <w:snapToGrid w:val="0"/>
        <w:spacing w:line="360" w:lineRule="auto"/>
        <w:ind w:firstLine="482" w:firstLineChars="200"/>
        <w:jc w:val="right"/>
        <w:rPr>
          <w:rFonts w:ascii="Times New Roman" w:hAnsi="Times New Roman"/>
        </w:rPr>
      </w:pPr>
      <w:r>
        <w:rPr>
          <w:rFonts w:ascii="Times New Roman" w:hAnsi="Times New Roman"/>
          <w:b/>
          <w:bCs/>
          <w:sz w:val="24"/>
        </w:rPr>
        <w:t>2024</w:t>
      </w:r>
      <w:r>
        <w:rPr>
          <w:rFonts w:ascii="Times New Roman" w:hAnsi="Arial"/>
          <w:b/>
          <w:bCs/>
          <w:sz w:val="24"/>
        </w:rPr>
        <w:t>年</w:t>
      </w:r>
      <w:r>
        <w:rPr>
          <w:rFonts w:ascii="Times New Roman" w:hAnsi="Times New Roman"/>
          <w:b/>
          <w:bCs/>
          <w:sz w:val="24"/>
        </w:rPr>
        <w:t>5</w:t>
      </w:r>
      <w:r>
        <w:rPr>
          <w:rFonts w:ascii="Times New Roman" w:hAnsi="Arial"/>
          <w:b/>
          <w:bCs/>
          <w:sz w:val="24"/>
        </w:rPr>
        <w:t>月</w:t>
      </w:r>
      <w:r>
        <w:rPr>
          <w:rFonts w:ascii="Times New Roman" w:hAnsi="Times New Roman"/>
          <w:b/>
          <w:bCs/>
          <w:sz w:val="24"/>
        </w:rPr>
        <w:t>1</w:t>
      </w:r>
      <w:r>
        <w:rPr>
          <w:rFonts w:hint="eastAsia" w:ascii="Times New Roman" w:hAnsi="Times New Roman"/>
          <w:b/>
          <w:bCs/>
          <w:sz w:val="24"/>
        </w:rPr>
        <w:t>6</w:t>
      </w:r>
      <w:r>
        <w:rPr>
          <w:rFonts w:ascii="Times New Roman" w:hAnsi="Arial"/>
          <w:b/>
          <w:bCs/>
          <w:sz w:val="24"/>
        </w:rPr>
        <w:t>日</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F2">
    <w:altName w:val="Cambria"/>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0000012" w:usb3="00000000" w:csb0="0002009F" w:csb1="00000000"/>
  </w:font>
  <w:font w:name="华文宋体">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documentProtection w:enforcement="0"/>
  <w:defaultTabStop w:val="420"/>
  <w:drawingGridHorizontalSpacing w:val="107"/>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wMDQ2MTcxNDEwYjBhMjRmZWQ3MzkzOTU3YTA5ZWQifQ=="/>
  </w:docVars>
  <w:rsids>
    <w:rsidRoot w:val="00E95FAE"/>
    <w:rsid w:val="0003778B"/>
    <w:rsid w:val="00044799"/>
    <w:rsid w:val="00051C43"/>
    <w:rsid w:val="000528EC"/>
    <w:rsid w:val="000747F7"/>
    <w:rsid w:val="00081772"/>
    <w:rsid w:val="00083F66"/>
    <w:rsid w:val="00085C6D"/>
    <w:rsid w:val="000943D3"/>
    <w:rsid w:val="000A1BBB"/>
    <w:rsid w:val="000A49E1"/>
    <w:rsid w:val="000A769B"/>
    <w:rsid w:val="000B7550"/>
    <w:rsid w:val="000C05DB"/>
    <w:rsid w:val="000C79E0"/>
    <w:rsid w:val="000D1823"/>
    <w:rsid w:val="000D683A"/>
    <w:rsid w:val="000F28CE"/>
    <w:rsid w:val="00103D5A"/>
    <w:rsid w:val="0010733B"/>
    <w:rsid w:val="00115527"/>
    <w:rsid w:val="00120DE5"/>
    <w:rsid w:val="0013047A"/>
    <w:rsid w:val="0013701B"/>
    <w:rsid w:val="00142958"/>
    <w:rsid w:val="0017347C"/>
    <w:rsid w:val="00187F89"/>
    <w:rsid w:val="001979CE"/>
    <w:rsid w:val="001D0C45"/>
    <w:rsid w:val="001D1537"/>
    <w:rsid w:val="001D3D06"/>
    <w:rsid w:val="001D5FC8"/>
    <w:rsid w:val="001F654C"/>
    <w:rsid w:val="001F6866"/>
    <w:rsid w:val="00203766"/>
    <w:rsid w:val="00211963"/>
    <w:rsid w:val="00224B14"/>
    <w:rsid w:val="002300D6"/>
    <w:rsid w:val="0023108C"/>
    <w:rsid w:val="0023681F"/>
    <w:rsid w:val="00262FF1"/>
    <w:rsid w:val="00270CC0"/>
    <w:rsid w:val="002835BD"/>
    <w:rsid w:val="00294D0C"/>
    <w:rsid w:val="002967D4"/>
    <w:rsid w:val="002A3FD8"/>
    <w:rsid w:val="002A49FC"/>
    <w:rsid w:val="002C5EF9"/>
    <w:rsid w:val="002C73B9"/>
    <w:rsid w:val="00302BE1"/>
    <w:rsid w:val="0030548A"/>
    <w:rsid w:val="00314A6C"/>
    <w:rsid w:val="003423BA"/>
    <w:rsid w:val="00344DCC"/>
    <w:rsid w:val="0034599A"/>
    <w:rsid w:val="0035643E"/>
    <w:rsid w:val="00382AE9"/>
    <w:rsid w:val="00393A63"/>
    <w:rsid w:val="00397B51"/>
    <w:rsid w:val="003D4539"/>
    <w:rsid w:val="003D4BD3"/>
    <w:rsid w:val="003D6A8D"/>
    <w:rsid w:val="003F77DC"/>
    <w:rsid w:val="00406216"/>
    <w:rsid w:val="00420CDD"/>
    <w:rsid w:val="00491E7B"/>
    <w:rsid w:val="00496288"/>
    <w:rsid w:val="004C28EF"/>
    <w:rsid w:val="004C534D"/>
    <w:rsid w:val="004D0FBD"/>
    <w:rsid w:val="004F07B3"/>
    <w:rsid w:val="004F166F"/>
    <w:rsid w:val="00510B77"/>
    <w:rsid w:val="00524D3B"/>
    <w:rsid w:val="00530645"/>
    <w:rsid w:val="00551AC6"/>
    <w:rsid w:val="00554B05"/>
    <w:rsid w:val="00556A01"/>
    <w:rsid w:val="005641B0"/>
    <w:rsid w:val="0057358B"/>
    <w:rsid w:val="00574A81"/>
    <w:rsid w:val="005859EC"/>
    <w:rsid w:val="00586512"/>
    <w:rsid w:val="005906B1"/>
    <w:rsid w:val="005922E2"/>
    <w:rsid w:val="00593B14"/>
    <w:rsid w:val="005945B9"/>
    <w:rsid w:val="005A6D35"/>
    <w:rsid w:val="005B4EE1"/>
    <w:rsid w:val="005D1D97"/>
    <w:rsid w:val="005E0A43"/>
    <w:rsid w:val="006110B1"/>
    <w:rsid w:val="00626F72"/>
    <w:rsid w:val="006329D1"/>
    <w:rsid w:val="0064677B"/>
    <w:rsid w:val="00651204"/>
    <w:rsid w:val="006549C9"/>
    <w:rsid w:val="006731C0"/>
    <w:rsid w:val="006745DA"/>
    <w:rsid w:val="00683A92"/>
    <w:rsid w:val="00690C1B"/>
    <w:rsid w:val="00696620"/>
    <w:rsid w:val="006A3176"/>
    <w:rsid w:val="006A6E23"/>
    <w:rsid w:val="006B0806"/>
    <w:rsid w:val="006B16C5"/>
    <w:rsid w:val="006B4A02"/>
    <w:rsid w:val="006B6216"/>
    <w:rsid w:val="006C2E52"/>
    <w:rsid w:val="006D685E"/>
    <w:rsid w:val="006E4D98"/>
    <w:rsid w:val="0071433E"/>
    <w:rsid w:val="00715A4E"/>
    <w:rsid w:val="0073023B"/>
    <w:rsid w:val="00737B79"/>
    <w:rsid w:val="00753CA5"/>
    <w:rsid w:val="007673B3"/>
    <w:rsid w:val="007947B6"/>
    <w:rsid w:val="007A4531"/>
    <w:rsid w:val="007D0A23"/>
    <w:rsid w:val="007D383F"/>
    <w:rsid w:val="00805E03"/>
    <w:rsid w:val="008162F3"/>
    <w:rsid w:val="008374FA"/>
    <w:rsid w:val="00851D07"/>
    <w:rsid w:val="00855402"/>
    <w:rsid w:val="008573FD"/>
    <w:rsid w:val="00877088"/>
    <w:rsid w:val="008915D0"/>
    <w:rsid w:val="00893022"/>
    <w:rsid w:val="008A471C"/>
    <w:rsid w:val="008B186B"/>
    <w:rsid w:val="008E3EBB"/>
    <w:rsid w:val="008E6D71"/>
    <w:rsid w:val="0091750A"/>
    <w:rsid w:val="009269DC"/>
    <w:rsid w:val="009449BA"/>
    <w:rsid w:val="00986C0B"/>
    <w:rsid w:val="009B0110"/>
    <w:rsid w:val="009E1232"/>
    <w:rsid w:val="00A1208C"/>
    <w:rsid w:val="00A30250"/>
    <w:rsid w:val="00A5266C"/>
    <w:rsid w:val="00A5578A"/>
    <w:rsid w:val="00A558EF"/>
    <w:rsid w:val="00A609AE"/>
    <w:rsid w:val="00A63D0E"/>
    <w:rsid w:val="00A66534"/>
    <w:rsid w:val="00A74E7D"/>
    <w:rsid w:val="00A84CE8"/>
    <w:rsid w:val="00A948E9"/>
    <w:rsid w:val="00AA3785"/>
    <w:rsid w:val="00AB79EE"/>
    <w:rsid w:val="00AC0E80"/>
    <w:rsid w:val="00AD44C7"/>
    <w:rsid w:val="00AE0075"/>
    <w:rsid w:val="00AE0C49"/>
    <w:rsid w:val="00AE14A6"/>
    <w:rsid w:val="00AE316E"/>
    <w:rsid w:val="00AE3BBF"/>
    <w:rsid w:val="00AE5679"/>
    <w:rsid w:val="00AE7D2A"/>
    <w:rsid w:val="00AF1317"/>
    <w:rsid w:val="00AF4D64"/>
    <w:rsid w:val="00B15C1E"/>
    <w:rsid w:val="00B2025C"/>
    <w:rsid w:val="00B20A40"/>
    <w:rsid w:val="00B238D7"/>
    <w:rsid w:val="00B33F35"/>
    <w:rsid w:val="00B37468"/>
    <w:rsid w:val="00B40096"/>
    <w:rsid w:val="00B42FAD"/>
    <w:rsid w:val="00B53090"/>
    <w:rsid w:val="00B56F16"/>
    <w:rsid w:val="00B66CB0"/>
    <w:rsid w:val="00B67D3C"/>
    <w:rsid w:val="00B8311B"/>
    <w:rsid w:val="00B90D13"/>
    <w:rsid w:val="00BB0869"/>
    <w:rsid w:val="00BB5D02"/>
    <w:rsid w:val="00BB747B"/>
    <w:rsid w:val="00BD3609"/>
    <w:rsid w:val="00BE027D"/>
    <w:rsid w:val="00BE17E6"/>
    <w:rsid w:val="00BE7CEE"/>
    <w:rsid w:val="00BF4EC5"/>
    <w:rsid w:val="00BF55F8"/>
    <w:rsid w:val="00C02BEE"/>
    <w:rsid w:val="00C2321A"/>
    <w:rsid w:val="00C2558E"/>
    <w:rsid w:val="00C2598F"/>
    <w:rsid w:val="00C30941"/>
    <w:rsid w:val="00C4386F"/>
    <w:rsid w:val="00C46665"/>
    <w:rsid w:val="00C52F55"/>
    <w:rsid w:val="00C554FC"/>
    <w:rsid w:val="00C669F9"/>
    <w:rsid w:val="00C84C90"/>
    <w:rsid w:val="00C854CB"/>
    <w:rsid w:val="00C85A48"/>
    <w:rsid w:val="00CA2A95"/>
    <w:rsid w:val="00CA7B6F"/>
    <w:rsid w:val="00CB11C2"/>
    <w:rsid w:val="00CF4B4A"/>
    <w:rsid w:val="00CF5CA5"/>
    <w:rsid w:val="00D14777"/>
    <w:rsid w:val="00D43585"/>
    <w:rsid w:val="00D57905"/>
    <w:rsid w:val="00D65F26"/>
    <w:rsid w:val="00D72E2E"/>
    <w:rsid w:val="00D734E5"/>
    <w:rsid w:val="00D9042A"/>
    <w:rsid w:val="00DA3B2A"/>
    <w:rsid w:val="00DC39F4"/>
    <w:rsid w:val="00DC6930"/>
    <w:rsid w:val="00DC7669"/>
    <w:rsid w:val="00DD0129"/>
    <w:rsid w:val="00DE4D4E"/>
    <w:rsid w:val="00DF0033"/>
    <w:rsid w:val="00DF070B"/>
    <w:rsid w:val="00DF7453"/>
    <w:rsid w:val="00E043F5"/>
    <w:rsid w:val="00E05C85"/>
    <w:rsid w:val="00E314E7"/>
    <w:rsid w:val="00E3386D"/>
    <w:rsid w:val="00E37B00"/>
    <w:rsid w:val="00E40F4D"/>
    <w:rsid w:val="00E52B58"/>
    <w:rsid w:val="00E62ADB"/>
    <w:rsid w:val="00E722EE"/>
    <w:rsid w:val="00E95FAE"/>
    <w:rsid w:val="00EA1C19"/>
    <w:rsid w:val="00EA72BA"/>
    <w:rsid w:val="00EB6E35"/>
    <w:rsid w:val="00EC0813"/>
    <w:rsid w:val="00EC2D61"/>
    <w:rsid w:val="00EE26B7"/>
    <w:rsid w:val="00EE6892"/>
    <w:rsid w:val="00EF2A76"/>
    <w:rsid w:val="00F0014C"/>
    <w:rsid w:val="00F22899"/>
    <w:rsid w:val="00F2401B"/>
    <w:rsid w:val="00F32ACE"/>
    <w:rsid w:val="00F515CB"/>
    <w:rsid w:val="00F60233"/>
    <w:rsid w:val="00F67856"/>
    <w:rsid w:val="00F71D0C"/>
    <w:rsid w:val="00F800BF"/>
    <w:rsid w:val="00FB5E83"/>
    <w:rsid w:val="00FD004B"/>
    <w:rsid w:val="00FF02A4"/>
    <w:rsid w:val="3DD50400"/>
    <w:rsid w:val="70792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99" w:name="toc 4"/>
    <w:lsdException w:uiPriority="39" w:name="toc 5"/>
    <w:lsdException w:qFormat="1" w:uiPriority="9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semiHidden="0" w:name="Default Paragraph Font"/>
    <w:lsdException w:qFormat="1"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qFormat="1" w:uiPriority="99" w:name="Body Text First Indent 2"/>
    <w:lsdException w:uiPriority="99" w:name="Note Heading"/>
    <w:lsdException w:uiPriority="99" w:name="Body Text 2"/>
    <w:lsdException w:qFormat="1" w:uiPriority="99" w:name="Body Text 3"/>
    <w:lsdException w:qFormat="1" w:uiPriority="99" w:name="Body Text Indent 2"/>
    <w:lsdException w:uiPriority="99" w:name="Body Text Indent 3"/>
    <w:lsdException w:qFormat="1"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44"/>
    <w:qFormat/>
    <w:uiPriority w:val="9"/>
    <w:pPr>
      <w:keepNext/>
      <w:keepLines/>
      <w:widowControl/>
      <w:jc w:val="left"/>
      <w:outlineLvl w:val="0"/>
    </w:pPr>
    <w:rPr>
      <w:rFonts w:ascii="Times New Roman" w:hAnsi="Times New Roman" w:cstheme="minorBidi"/>
      <w:b/>
      <w:bCs/>
      <w:kern w:val="44"/>
      <w:sz w:val="28"/>
      <w:szCs w:val="28"/>
    </w:rPr>
  </w:style>
  <w:style w:type="paragraph" w:styleId="4">
    <w:name w:val="heading 2"/>
    <w:basedOn w:val="1"/>
    <w:next w:val="1"/>
    <w:link w:val="45"/>
    <w:unhideWhenUsed/>
    <w:qFormat/>
    <w:uiPriority w:val="9"/>
    <w:pPr>
      <w:keepNext/>
      <w:keepLines/>
      <w:widowControl/>
      <w:adjustRightInd w:val="0"/>
      <w:jc w:val="left"/>
      <w:outlineLvl w:val="1"/>
    </w:pPr>
    <w:rPr>
      <w:rFonts w:ascii="Times New Roman" w:hAnsi="Times New Roman" w:cstheme="minorBidi"/>
      <w:b/>
      <w:kern w:val="0"/>
      <w:sz w:val="24"/>
    </w:rPr>
  </w:style>
  <w:style w:type="paragraph" w:styleId="5">
    <w:name w:val="heading 3"/>
    <w:basedOn w:val="1"/>
    <w:next w:val="1"/>
    <w:link w:val="46"/>
    <w:unhideWhenUsed/>
    <w:qFormat/>
    <w:uiPriority w:val="9"/>
    <w:pPr>
      <w:keepNext/>
      <w:keepLines/>
      <w:widowControl/>
      <w:spacing w:line="360" w:lineRule="auto"/>
      <w:outlineLvl w:val="2"/>
    </w:pPr>
    <w:rPr>
      <w:rFonts w:ascii="Times New Roman" w:hAnsi="Times New Roman"/>
      <w:b/>
      <w:bCs/>
      <w:kern w:val="0"/>
      <w:sz w:val="24"/>
      <w:szCs w:val="32"/>
    </w:rPr>
  </w:style>
  <w:style w:type="paragraph" w:styleId="6">
    <w:name w:val="heading 4"/>
    <w:basedOn w:val="1"/>
    <w:next w:val="1"/>
    <w:link w:val="47"/>
    <w:semiHidden/>
    <w:unhideWhenUsed/>
    <w:qFormat/>
    <w:uiPriority w:val="0"/>
    <w:pPr>
      <w:keepNext/>
      <w:keepLines/>
      <w:widowControl/>
      <w:spacing w:line="360" w:lineRule="auto"/>
      <w:outlineLvl w:val="3"/>
    </w:pPr>
    <w:rPr>
      <w:rFonts w:ascii="Times New Roman" w:hAnsi="Times New Roman" w:cstheme="minorBidi"/>
      <w:b/>
      <w:kern w:val="0"/>
      <w:sz w:val="24"/>
    </w:rPr>
  </w:style>
  <w:style w:type="paragraph" w:styleId="7">
    <w:name w:val="heading 6"/>
    <w:basedOn w:val="1"/>
    <w:next w:val="1"/>
    <w:link w:val="48"/>
    <w:semiHidden/>
    <w:unhideWhenUsed/>
    <w:qFormat/>
    <w:uiPriority w:val="9"/>
    <w:pPr>
      <w:keepNext/>
      <w:keepLines/>
      <w:spacing w:before="240" w:after="64" w:line="319" w:lineRule="auto"/>
      <w:ind w:firstLine="200" w:firstLineChars="200"/>
      <w:outlineLvl w:val="5"/>
    </w:pPr>
    <w:rPr>
      <w:rFonts w:asciiTheme="majorHAnsi" w:hAnsiTheme="majorHAnsi" w:eastAsiaTheme="majorEastAsia" w:cstheme="majorBidi"/>
      <w:b/>
      <w:bCs/>
      <w:sz w:val="24"/>
    </w:rPr>
  </w:style>
  <w:style w:type="character" w:default="1" w:styleId="35">
    <w:name w:val="Default Paragraph Font"/>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acro"/>
    <w:link w:val="105"/>
    <w:semiHidden/>
    <w:unhideWhenUsed/>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8">
    <w:name w:val="List 3"/>
    <w:basedOn w:val="1"/>
    <w:semiHidden/>
    <w:unhideWhenUsed/>
    <w:qFormat/>
    <w:uiPriority w:val="99"/>
    <w:pPr>
      <w:widowControl/>
      <w:jc w:val="center"/>
    </w:pPr>
    <w:rPr>
      <w:rFonts w:ascii="Times New Roman" w:hAnsi="Times New Roman" w:eastAsia="仿宋" w:cstheme="minorBidi"/>
      <w:kern w:val="0"/>
      <w:szCs w:val="20"/>
    </w:rPr>
  </w:style>
  <w:style w:type="paragraph" w:styleId="9">
    <w:name w:val="Normal Indent"/>
    <w:basedOn w:val="1"/>
    <w:link w:val="43"/>
    <w:autoRedefine/>
    <w:unhideWhenUsed/>
    <w:qFormat/>
    <w:uiPriority w:val="0"/>
    <w:pPr>
      <w:spacing w:line="0" w:lineRule="atLeast"/>
      <w:jc w:val="center"/>
    </w:pPr>
    <w:rPr>
      <w:rFonts w:ascii="Times New Roman" w:hAnsi="Arial" w:eastAsiaTheme="minorEastAsia"/>
      <w:color w:val="000000" w:themeColor="text1"/>
    </w:rPr>
  </w:style>
  <w:style w:type="paragraph" w:styleId="10">
    <w:name w:val="Document Map"/>
    <w:basedOn w:val="1"/>
    <w:link w:val="118"/>
    <w:semiHidden/>
    <w:unhideWhenUsed/>
    <w:uiPriority w:val="99"/>
    <w:rPr>
      <w:rFonts w:ascii="宋体"/>
      <w:sz w:val="18"/>
      <w:szCs w:val="18"/>
    </w:rPr>
  </w:style>
  <w:style w:type="paragraph" w:styleId="11">
    <w:name w:val="annotation text"/>
    <w:basedOn w:val="1"/>
    <w:link w:val="49"/>
    <w:autoRedefine/>
    <w:semiHidden/>
    <w:unhideWhenUsed/>
    <w:qFormat/>
    <w:uiPriority w:val="99"/>
    <w:pPr>
      <w:widowControl/>
      <w:spacing w:line="360" w:lineRule="auto"/>
      <w:jc w:val="left"/>
    </w:pPr>
    <w:rPr>
      <w:rFonts w:ascii="Times New Roman" w:hAnsi="Times New Roman" w:cstheme="minorBidi"/>
      <w:kern w:val="0"/>
      <w:sz w:val="24"/>
    </w:rPr>
  </w:style>
  <w:style w:type="paragraph" w:styleId="12">
    <w:name w:val="Body Text 3"/>
    <w:basedOn w:val="1"/>
    <w:link w:val="57"/>
    <w:autoRedefine/>
    <w:semiHidden/>
    <w:unhideWhenUsed/>
    <w:qFormat/>
    <w:uiPriority w:val="99"/>
    <w:pPr>
      <w:widowControl/>
      <w:spacing w:line="360" w:lineRule="auto"/>
      <w:jc w:val="left"/>
    </w:pPr>
    <w:rPr>
      <w:rFonts w:ascii="Arial" w:hAnsi="Arial" w:cstheme="minorBidi"/>
      <w:spacing w:val="-5"/>
      <w:kern w:val="0"/>
      <w:sz w:val="24"/>
    </w:rPr>
  </w:style>
  <w:style w:type="paragraph" w:styleId="13">
    <w:name w:val="Body Text"/>
    <w:basedOn w:val="1"/>
    <w:link w:val="42"/>
    <w:unhideWhenUsed/>
    <w:qFormat/>
    <w:uiPriority w:val="1"/>
    <w:pPr>
      <w:spacing w:after="120"/>
    </w:pPr>
  </w:style>
  <w:style w:type="paragraph" w:styleId="14">
    <w:name w:val="Body Text Indent"/>
    <w:basedOn w:val="1"/>
    <w:link w:val="41"/>
    <w:unhideWhenUsed/>
    <w:qFormat/>
    <w:uiPriority w:val="0"/>
    <w:pPr>
      <w:widowControl/>
      <w:spacing w:after="120" w:line="360" w:lineRule="auto"/>
      <w:ind w:left="420" w:leftChars="200"/>
    </w:pPr>
    <w:rPr>
      <w:rFonts w:ascii="Times New Roman" w:hAnsi="Times New Roman" w:cstheme="minorBidi"/>
      <w:kern w:val="0"/>
      <w:sz w:val="24"/>
    </w:rPr>
  </w:style>
  <w:style w:type="paragraph" w:styleId="15">
    <w:name w:val="Block Text"/>
    <w:basedOn w:val="1"/>
    <w:semiHidden/>
    <w:unhideWhenUsed/>
    <w:qFormat/>
    <w:uiPriority w:val="99"/>
    <w:pPr>
      <w:widowControl/>
      <w:spacing w:after="120" w:line="360" w:lineRule="auto"/>
      <w:ind w:left="1440" w:leftChars="700" w:right="700" w:rightChars="700"/>
    </w:pPr>
    <w:rPr>
      <w:rFonts w:ascii="Times New Roman" w:hAnsi="Times New Roman" w:cstheme="minorBidi"/>
      <w:kern w:val="0"/>
      <w:sz w:val="24"/>
    </w:rPr>
  </w:style>
  <w:style w:type="paragraph" w:styleId="16">
    <w:name w:val="toc 3"/>
    <w:basedOn w:val="1"/>
    <w:next w:val="1"/>
    <w:autoRedefine/>
    <w:semiHidden/>
    <w:unhideWhenUsed/>
    <w:qFormat/>
    <w:uiPriority w:val="39"/>
    <w:pPr>
      <w:widowControl/>
      <w:spacing w:line="360" w:lineRule="auto"/>
      <w:ind w:left="480" w:leftChars="200" w:firstLine="646" w:firstLineChars="200"/>
      <w:jc w:val="left"/>
    </w:pPr>
    <w:rPr>
      <w:rFonts w:ascii="Times New Roman" w:hAnsi="Times New Roman"/>
      <w:iCs/>
      <w:kern w:val="0"/>
      <w:szCs w:val="21"/>
    </w:rPr>
  </w:style>
  <w:style w:type="paragraph" w:styleId="17">
    <w:name w:val="Plain Text"/>
    <w:basedOn w:val="1"/>
    <w:link w:val="40"/>
    <w:semiHidden/>
    <w:unhideWhenUsed/>
    <w:qFormat/>
    <w:uiPriority w:val="99"/>
    <w:rPr>
      <w:rFonts w:ascii="宋体" w:hAnsi="Courier New" w:cs="Courier New"/>
      <w:szCs w:val="21"/>
    </w:rPr>
  </w:style>
  <w:style w:type="paragraph" w:styleId="18">
    <w:name w:val="Date"/>
    <w:basedOn w:val="1"/>
    <w:next w:val="1"/>
    <w:link w:val="104"/>
    <w:semiHidden/>
    <w:unhideWhenUsed/>
    <w:qFormat/>
    <w:uiPriority w:val="99"/>
    <w:pPr>
      <w:widowControl/>
      <w:adjustRightInd w:val="0"/>
      <w:spacing w:line="312" w:lineRule="atLeast"/>
    </w:pPr>
    <w:rPr>
      <w:rFonts w:ascii="Times New Roman" w:hAnsi="Times New Roman" w:cstheme="minorBidi"/>
      <w:kern w:val="0"/>
      <w:sz w:val="24"/>
      <w:szCs w:val="20"/>
    </w:rPr>
  </w:style>
  <w:style w:type="paragraph" w:styleId="19">
    <w:name w:val="Body Text Indent 2"/>
    <w:basedOn w:val="1"/>
    <w:next w:val="20"/>
    <w:link w:val="58"/>
    <w:semiHidden/>
    <w:unhideWhenUsed/>
    <w:qFormat/>
    <w:uiPriority w:val="99"/>
    <w:pPr>
      <w:widowControl/>
      <w:spacing w:after="120" w:line="480" w:lineRule="auto"/>
      <w:ind w:left="420" w:leftChars="200"/>
    </w:pPr>
    <w:rPr>
      <w:rFonts w:ascii="Times New Roman" w:hAnsi="Times New Roman" w:cstheme="minorBidi"/>
      <w:kern w:val="0"/>
      <w:sz w:val="24"/>
    </w:rPr>
  </w:style>
  <w:style w:type="paragraph" w:styleId="20">
    <w:name w:val="Body Text First Indent"/>
    <w:basedOn w:val="13"/>
    <w:next w:val="21"/>
    <w:link w:val="55"/>
    <w:semiHidden/>
    <w:unhideWhenUsed/>
    <w:qFormat/>
    <w:uiPriority w:val="99"/>
    <w:pPr>
      <w:widowControl/>
      <w:spacing w:after="0" w:line="360" w:lineRule="auto"/>
      <w:jc w:val="left"/>
    </w:pPr>
    <w:rPr>
      <w:rFonts w:ascii="Times New Roman" w:hAnsi="Times New Roman"/>
      <w:kern w:val="0"/>
      <w:sz w:val="24"/>
    </w:rPr>
  </w:style>
  <w:style w:type="paragraph" w:styleId="21">
    <w:name w:val="toc 6"/>
    <w:basedOn w:val="1"/>
    <w:next w:val="1"/>
    <w:autoRedefine/>
    <w:semiHidden/>
    <w:unhideWhenUsed/>
    <w:qFormat/>
    <w:uiPriority w:val="99"/>
    <w:pPr>
      <w:widowControl/>
      <w:spacing w:line="360" w:lineRule="auto"/>
      <w:ind w:left="1400"/>
    </w:pPr>
    <w:rPr>
      <w:rFonts w:hAnsi="Times New Roman" w:cstheme="minorBidi"/>
      <w:kern w:val="0"/>
      <w:sz w:val="18"/>
      <w:szCs w:val="18"/>
    </w:rPr>
  </w:style>
  <w:style w:type="paragraph" w:styleId="22">
    <w:name w:val="Balloon Text"/>
    <w:basedOn w:val="1"/>
    <w:link w:val="60"/>
    <w:autoRedefine/>
    <w:semiHidden/>
    <w:unhideWhenUsed/>
    <w:qFormat/>
    <w:uiPriority w:val="99"/>
    <w:pPr>
      <w:autoSpaceDE w:val="0"/>
      <w:autoSpaceDN w:val="0"/>
      <w:jc w:val="left"/>
    </w:pPr>
    <w:rPr>
      <w:rFonts w:ascii="宋体" w:hAnsi="宋体" w:cs="宋体"/>
      <w:kern w:val="0"/>
      <w:sz w:val="18"/>
      <w:szCs w:val="18"/>
      <w:lang w:eastAsia="en-US"/>
    </w:rPr>
  </w:style>
  <w:style w:type="paragraph" w:styleId="23">
    <w:name w:val="footer"/>
    <w:basedOn w:val="1"/>
    <w:link w:val="51"/>
    <w:autoRedefine/>
    <w:semiHidden/>
    <w:unhideWhenUsed/>
    <w:qFormat/>
    <w:uiPriority w:val="99"/>
    <w:pPr>
      <w:widowControl/>
      <w:tabs>
        <w:tab w:val="center" w:pos="4153"/>
        <w:tab w:val="right" w:pos="8306"/>
      </w:tabs>
      <w:snapToGrid w:val="0"/>
      <w:jc w:val="left"/>
    </w:pPr>
    <w:rPr>
      <w:rFonts w:ascii="Times New Roman" w:hAnsi="Times New Roman"/>
      <w:kern w:val="0"/>
      <w:sz w:val="18"/>
      <w:szCs w:val="18"/>
    </w:rPr>
  </w:style>
  <w:style w:type="paragraph" w:styleId="24">
    <w:name w:val="header"/>
    <w:basedOn w:val="1"/>
    <w:link w:val="50"/>
    <w:semiHidden/>
    <w:unhideWhenUsed/>
    <w:qFormat/>
    <w:uiPriority w:val="99"/>
    <w:pPr>
      <w:widowControl/>
      <w:pBdr>
        <w:bottom w:val="single" w:color="auto" w:sz="6" w:space="1"/>
      </w:pBdr>
      <w:tabs>
        <w:tab w:val="center" w:pos="4153"/>
        <w:tab w:val="right" w:pos="8306"/>
      </w:tabs>
      <w:snapToGrid w:val="0"/>
      <w:spacing w:line="360" w:lineRule="auto"/>
      <w:jc w:val="center"/>
    </w:pPr>
    <w:rPr>
      <w:rFonts w:ascii="Times New Roman" w:hAnsi="Times New Roman" w:eastAsia="仿宋_GB2312" w:cstheme="minorBidi"/>
      <w:kern w:val="0"/>
      <w:sz w:val="18"/>
      <w:szCs w:val="18"/>
    </w:rPr>
  </w:style>
  <w:style w:type="paragraph" w:styleId="25">
    <w:name w:val="toc 1"/>
    <w:basedOn w:val="1"/>
    <w:next w:val="1"/>
    <w:autoRedefine/>
    <w:semiHidden/>
    <w:unhideWhenUsed/>
    <w:qFormat/>
    <w:uiPriority w:val="39"/>
    <w:pPr>
      <w:tabs>
        <w:tab w:val="right" w:leader="dot" w:pos="8550"/>
      </w:tabs>
      <w:spacing w:line="432" w:lineRule="auto"/>
      <w:ind w:right="504" w:rightChars="240" w:firstLine="237" w:firstLineChars="113"/>
    </w:pPr>
  </w:style>
  <w:style w:type="paragraph" w:styleId="26">
    <w:name w:val="toc 4"/>
    <w:basedOn w:val="1"/>
    <w:next w:val="1"/>
    <w:autoRedefine/>
    <w:semiHidden/>
    <w:unhideWhenUsed/>
    <w:qFormat/>
    <w:uiPriority w:val="99"/>
    <w:pPr>
      <w:widowControl/>
      <w:spacing w:line="360" w:lineRule="auto"/>
      <w:ind w:left="1260" w:leftChars="600"/>
    </w:pPr>
    <w:rPr>
      <w:rFonts w:ascii="Times New Roman" w:hAnsi="Times New Roman"/>
      <w:kern w:val="0"/>
      <w:szCs w:val="21"/>
    </w:rPr>
  </w:style>
  <w:style w:type="paragraph" w:styleId="27">
    <w:name w:val="toc 2"/>
    <w:basedOn w:val="1"/>
    <w:next w:val="1"/>
    <w:autoRedefine/>
    <w:semiHidden/>
    <w:unhideWhenUsed/>
    <w:qFormat/>
    <w:uiPriority w:val="39"/>
    <w:pPr>
      <w:widowControl/>
      <w:spacing w:line="360" w:lineRule="auto"/>
      <w:ind w:firstLine="480" w:firstLineChars="200"/>
    </w:pPr>
    <w:rPr>
      <w:rFonts w:ascii="Times New Roman" w:hAnsi="Times New Roman"/>
      <w:kern w:val="0"/>
      <w:szCs w:val="21"/>
    </w:rPr>
  </w:style>
  <w:style w:type="paragraph" w:styleId="28">
    <w:name w:val="Normal (Web)"/>
    <w:basedOn w:val="1"/>
    <w:semiHidden/>
    <w:unhideWhenUsed/>
    <w:uiPriority w:val="99"/>
    <w:pPr>
      <w:widowControl/>
      <w:spacing w:before="100" w:beforeAutospacing="1" w:after="100" w:afterAutospacing="1"/>
      <w:jc w:val="left"/>
    </w:pPr>
    <w:rPr>
      <w:rFonts w:ascii="宋体" w:hAnsi="宋体" w:cs="宋体"/>
      <w:kern w:val="0"/>
      <w:sz w:val="24"/>
    </w:rPr>
  </w:style>
  <w:style w:type="paragraph" w:styleId="29">
    <w:name w:val="index 1"/>
    <w:basedOn w:val="1"/>
    <w:next w:val="1"/>
    <w:autoRedefine/>
    <w:unhideWhenUsed/>
    <w:qFormat/>
    <w:uiPriority w:val="0"/>
    <w:pPr>
      <w:widowControl/>
      <w:spacing w:line="360" w:lineRule="auto"/>
      <w:jc w:val="center"/>
    </w:pPr>
    <w:rPr>
      <w:rFonts w:ascii="宋体" w:hAnsi="宋体" w:cstheme="minorBidi"/>
      <w:color w:val="000000"/>
      <w:kern w:val="0"/>
      <w:sz w:val="24"/>
    </w:rPr>
  </w:style>
  <w:style w:type="paragraph" w:styleId="30">
    <w:name w:val="Title"/>
    <w:basedOn w:val="1"/>
    <w:link w:val="53"/>
    <w:qFormat/>
    <w:uiPriority w:val="99"/>
    <w:pPr>
      <w:widowControl/>
      <w:spacing w:before="240" w:after="60" w:line="360" w:lineRule="auto"/>
      <w:jc w:val="center"/>
      <w:outlineLvl w:val="0"/>
    </w:pPr>
    <w:rPr>
      <w:rFonts w:ascii="Arial" w:hAnsi="Arial" w:cstheme="minorBidi"/>
      <w:b/>
      <w:kern w:val="0"/>
      <w:sz w:val="32"/>
    </w:rPr>
  </w:style>
  <w:style w:type="paragraph" w:styleId="31">
    <w:name w:val="annotation subject"/>
    <w:basedOn w:val="11"/>
    <w:next w:val="11"/>
    <w:link w:val="59"/>
    <w:autoRedefine/>
    <w:semiHidden/>
    <w:unhideWhenUsed/>
    <w:uiPriority w:val="99"/>
    <w:pPr>
      <w:widowControl w:val="0"/>
      <w:autoSpaceDE w:val="0"/>
      <w:autoSpaceDN w:val="0"/>
      <w:spacing w:line="240" w:lineRule="auto"/>
    </w:pPr>
    <w:rPr>
      <w:rFonts w:ascii="宋体" w:hAnsi="宋体" w:cs="宋体"/>
      <w:b/>
      <w:bCs/>
      <w:sz w:val="22"/>
      <w:szCs w:val="22"/>
      <w:lang w:eastAsia="en-US"/>
    </w:rPr>
  </w:style>
  <w:style w:type="paragraph" w:styleId="32">
    <w:name w:val="Body Text First Indent 2"/>
    <w:basedOn w:val="14"/>
    <w:link w:val="56"/>
    <w:semiHidden/>
    <w:unhideWhenUsed/>
    <w:qFormat/>
    <w:uiPriority w:val="99"/>
    <w:pPr>
      <w:spacing w:after="0"/>
      <w:ind w:left="0" w:leftChars="0" w:firstLine="420" w:firstLineChars="200"/>
    </w:pPr>
  </w:style>
  <w:style w:type="table" w:styleId="34">
    <w:name w:val="Table Grid"/>
    <w:basedOn w:val="33"/>
    <w:autoRedefine/>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FollowedHyperlink"/>
    <w:basedOn w:val="35"/>
    <w:semiHidden/>
    <w:unhideWhenUsed/>
    <w:uiPriority w:val="99"/>
    <w:rPr>
      <w:color w:val="800080" w:themeColor="followedHyperlink"/>
      <w:u w:val="single"/>
    </w:rPr>
  </w:style>
  <w:style w:type="character" w:styleId="37">
    <w:name w:val="Emphasis"/>
    <w:basedOn w:val="35"/>
    <w:qFormat/>
    <w:uiPriority w:val="0"/>
    <w:rPr>
      <w:i/>
    </w:rPr>
  </w:style>
  <w:style w:type="character" w:styleId="38">
    <w:name w:val="Hyperlink"/>
    <w:basedOn w:val="35"/>
    <w:autoRedefine/>
    <w:semiHidden/>
    <w:unhideWhenUsed/>
    <w:uiPriority w:val="99"/>
    <w:rPr>
      <w:color w:val="0000FF" w:themeColor="hyperlink"/>
      <w:u w:val="single"/>
    </w:rPr>
  </w:style>
  <w:style w:type="character" w:styleId="39">
    <w:name w:val="annotation reference"/>
    <w:basedOn w:val="35"/>
    <w:autoRedefine/>
    <w:semiHidden/>
    <w:unhideWhenUsed/>
    <w:qFormat/>
    <w:uiPriority w:val="99"/>
    <w:rPr>
      <w:sz w:val="21"/>
      <w:szCs w:val="21"/>
    </w:rPr>
  </w:style>
  <w:style w:type="character" w:customStyle="1" w:styleId="40">
    <w:name w:val="纯文本 Char"/>
    <w:basedOn w:val="35"/>
    <w:link w:val="17"/>
    <w:semiHidden/>
    <w:qFormat/>
    <w:uiPriority w:val="0"/>
    <w:rPr>
      <w:rFonts w:ascii="宋体" w:hAnsi="Courier New" w:eastAsia="宋体" w:cs="Courier New"/>
      <w:szCs w:val="21"/>
    </w:rPr>
  </w:style>
  <w:style w:type="character" w:customStyle="1" w:styleId="41">
    <w:name w:val="正文文本缩进 Char"/>
    <w:basedOn w:val="35"/>
    <w:link w:val="14"/>
    <w:uiPriority w:val="0"/>
    <w:rPr>
      <w:rFonts w:ascii="Times New Roman" w:hAnsi="Times New Roman" w:eastAsia="宋体"/>
      <w:kern w:val="0"/>
      <w:sz w:val="24"/>
      <w:szCs w:val="24"/>
    </w:rPr>
  </w:style>
  <w:style w:type="character" w:customStyle="1" w:styleId="42">
    <w:name w:val="正文文本 Char"/>
    <w:basedOn w:val="35"/>
    <w:link w:val="13"/>
    <w:qFormat/>
    <w:uiPriority w:val="1"/>
    <w:rPr>
      <w:rFonts w:ascii="Calibri" w:hAnsi="Calibri" w:eastAsia="宋体" w:cs="Times New Roman"/>
      <w:szCs w:val="24"/>
    </w:rPr>
  </w:style>
  <w:style w:type="character" w:customStyle="1" w:styleId="43">
    <w:name w:val="正文缩进 Char"/>
    <w:basedOn w:val="35"/>
    <w:link w:val="9"/>
    <w:autoRedefine/>
    <w:qFormat/>
    <w:locked/>
    <w:uiPriority w:val="0"/>
    <w:rPr>
      <w:rFonts w:ascii="Times New Roman" w:hAnsi="Arial" w:cs="Times New Roman"/>
      <w:color w:val="000000" w:themeColor="text1"/>
      <w:szCs w:val="24"/>
    </w:rPr>
  </w:style>
  <w:style w:type="character" w:customStyle="1" w:styleId="44">
    <w:name w:val="标题 1 Char"/>
    <w:basedOn w:val="35"/>
    <w:link w:val="3"/>
    <w:qFormat/>
    <w:uiPriority w:val="9"/>
    <w:rPr>
      <w:rFonts w:ascii="Times New Roman" w:hAnsi="Times New Roman" w:eastAsia="宋体"/>
      <w:b/>
      <w:bCs/>
      <w:kern w:val="44"/>
      <w:sz w:val="28"/>
      <w:szCs w:val="28"/>
    </w:rPr>
  </w:style>
  <w:style w:type="character" w:customStyle="1" w:styleId="45">
    <w:name w:val="标题 2 Char"/>
    <w:basedOn w:val="35"/>
    <w:link w:val="4"/>
    <w:qFormat/>
    <w:uiPriority w:val="9"/>
    <w:rPr>
      <w:rFonts w:ascii="Times New Roman" w:hAnsi="Times New Roman" w:eastAsia="宋体"/>
      <w:b/>
      <w:kern w:val="0"/>
      <w:sz w:val="24"/>
      <w:szCs w:val="24"/>
    </w:rPr>
  </w:style>
  <w:style w:type="character" w:customStyle="1" w:styleId="46">
    <w:name w:val="标题 3 Char"/>
    <w:basedOn w:val="35"/>
    <w:link w:val="5"/>
    <w:qFormat/>
    <w:uiPriority w:val="9"/>
    <w:rPr>
      <w:rFonts w:ascii="Times New Roman" w:hAnsi="Times New Roman" w:eastAsia="宋体" w:cs="Times New Roman"/>
      <w:b/>
      <w:bCs/>
      <w:kern w:val="0"/>
      <w:sz w:val="24"/>
      <w:szCs w:val="32"/>
    </w:rPr>
  </w:style>
  <w:style w:type="character" w:customStyle="1" w:styleId="47">
    <w:name w:val="标题 4 Char"/>
    <w:basedOn w:val="35"/>
    <w:link w:val="6"/>
    <w:semiHidden/>
    <w:qFormat/>
    <w:uiPriority w:val="0"/>
    <w:rPr>
      <w:rFonts w:ascii="Times New Roman" w:hAnsi="Times New Roman" w:eastAsia="宋体"/>
      <w:b/>
      <w:kern w:val="0"/>
      <w:sz w:val="24"/>
      <w:szCs w:val="24"/>
    </w:rPr>
  </w:style>
  <w:style w:type="character" w:customStyle="1" w:styleId="48">
    <w:name w:val="标题 6 Char"/>
    <w:basedOn w:val="35"/>
    <w:link w:val="7"/>
    <w:semiHidden/>
    <w:qFormat/>
    <w:uiPriority w:val="9"/>
    <w:rPr>
      <w:rFonts w:asciiTheme="majorHAnsi" w:hAnsiTheme="majorHAnsi" w:eastAsiaTheme="majorEastAsia" w:cstheme="majorBidi"/>
      <w:b/>
      <w:bCs/>
      <w:sz w:val="24"/>
      <w:szCs w:val="24"/>
    </w:rPr>
  </w:style>
  <w:style w:type="character" w:customStyle="1" w:styleId="49">
    <w:name w:val="批注文字 Char"/>
    <w:basedOn w:val="35"/>
    <w:link w:val="11"/>
    <w:semiHidden/>
    <w:qFormat/>
    <w:uiPriority w:val="99"/>
    <w:rPr>
      <w:rFonts w:ascii="Times New Roman" w:hAnsi="Times New Roman" w:eastAsia="宋体"/>
      <w:kern w:val="0"/>
      <w:sz w:val="24"/>
      <w:szCs w:val="24"/>
    </w:rPr>
  </w:style>
  <w:style w:type="character" w:customStyle="1" w:styleId="50">
    <w:name w:val="页眉 Char"/>
    <w:basedOn w:val="35"/>
    <w:link w:val="24"/>
    <w:semiHidden/>
    <w:qFormat/>
    <w:uiPriority w:val="99"/>
    <w:rPr>
      <w:rFonts w:ascii="Times New Roman" w:hAnsi="Times New Roman" w:eastAsia="仿宋_GB2312"/>
      <w:kern w:val="0"/>
      <w:sz w:val="18"/>
      <w:szCs w:val="18"/>
    </w:rPr>
  </w:style>
  <w:style w:type="character" w:customStyle="1" w:styleId="51">
    <w:name w:val="页脚 Char"/>
    <w:basedOn w:val="35"/>
    <w:link w:val="23"/>
    <w:semiHidden/>
    <w:qFormat/>
    <w:uiPriority w:val="99"/>
    <w:rPr>
      <w:rFonts w:ascii="Times New Roman" w:hAnsi="Times New Roman" w:eastAsia="宋体" w:cs="Times New Roman"/>
      <w:kern w:val="0"/>
      <w:sz w:val="18"/>
      <w:szCs w:val="18"/>
    </w:rPr>
  </w:style>
  <w:style w:type="character" w:customStyle="1" w:styleId="52">
    <w:name w:val="宏文本 Char"/>
    <w:basedOn w:val="35"/>
    <w:link w:val="2"/>
    <w:semiHidden/>
    <w:uiPriority w:val="99"/>
    <w:rPr>
      <w:rFonts w:ascii="Courier New" w:hAnsi="Courier New" w:eastAsia="宋体" w:cs="Courier New"/>
      <w:sz w:val="24"/>
      <w:szCs w:val="24"/>
    </w:rPr>
  </w:style>
  <w:style w:type="character" w:customStyle="1" w:styleId="53">
    <w:name w:val="标题 Char"/>
    <w:basedOn w:val="35"/>
    <w:link w:val="30"/>
    <w:uiPriority w:val="99"/>
    <w:rPr>
      <w:rFonts w:ascii="Arial" w:hAnsi="Arial" w:eastAsia="宋体"/>
      <w:b/>
      <w:kern w:val="0"/>
      <w:sz w:val="32"/>
      <w:szCs w:val="24"/>
    </w:rPr>
  </w:style>
  <w:style w:type="character" w:customStyle="1" w:styleId="54">
    <w:name w:val="日期 Char"/>
    <w:basedOn w:val="35"/>
    <w:link w:val="18"/>
    <w:semiHidden/>
    <w:uiPriority w:val="99"/>
    <w:rPr>
      <w:rFonts w:ascii="Calibri" w:hAnsi="Calibri" w:eastAsia="宋体" w:cs="Times New Roman"/>
      <w:szCs w:val="24"/>
    </w:rPr>
  </w:style>
  <w:style w:type="character" w:customStyle="1" w:styleId="55">
    <w:name w:val="正文首行缩进 Char"/>
    <w:basedOn w:val="42"/>
    <w:link w:val="20"/>
    <w:semiHidden/>
    <w:uiPriority w:val="99"/>
    <w:rPr>
      <w:rFonts w:ascii="Times New Roman" w:hAnsi="Times New Roman"/>
      <w:kern w:val="0"/>
      <w:sz w:val="24"/>
    </w:rPr>
  </w:style>
  <w:style w:type="character" w:customStyle="1" w:styleId="56">
    <w:name w:val="正文首行缩进 2 Char"/>
    <w:basedOn w:val="41"/>
    <w:link w:val="32"/>
    <w:semiHidden/>
    <w:uiPriority w:val="99"/>
  </w:style>
  <w:style w:type="character" w:customStyle="1" w:styleId="57">
    <w:name w:val="正文文本 3 Char"/>
    <w:basedOn w:val="35"/>
    <w:link w:val="12"/>
    <w:semiHidden/>
    <w:uiPriority w:val="99"/>
    <w:rPr>
      <w:rFonts w:ascii="Arial" w:hAnsi="Arial" w:eastAsia="宋体"/>
      <w:spacing w:val="-5"/>
      <w:kern w:val="0"/>
      <w:sz w:val="24"/>
      <w:szCs w:val="24"/>
    </w:rPr>
  </w:style>
  <w:style w:type="character" w:customStyle="1" w:styleId="58">
    <w:name w:val="正文文本缩进 2 Char"/>
    <w:basedOn w:val="35"/>
    <w:link w:val="19"/>
    <w:semiHidden/>
    <w:uiPriority w:val="99"/>
    <w:rPr>
      <w:rFonts w:ascii="Times New Roman" w:hAnsi="Times New Roman" w:eastAsia="宋体"/>
      <w:kern w:val="0"/>
      <w:sz w:val="24"/>
      <w:szCs w:val="24"/>
    </w:rPr>
  </w:style>
  <w:style w:type="character" w:customStyle="1" w:styleId="59">
    <w:name w:val="批注主题 Char"/>
    <w:basedOn w:val="49"/>
    <w:link w:val="31"/>
    <w:semiHidden/>
    <w:qFormat/>
    <w:uiPriority w:val="99"/>
    <w:rPr>
      <w:rFonts w:ascii="宋体" w:hAnsi="宋体" w:cs="宋体"/>
      <w:b/>
      <w:bCs/>
      <w:sz w:val="22"/>
      <w:lang w:eastAsia="en-US"/>
    </w:rPr>
  </w:style>
  <w:style w:type="character" w:customStyle="1" w:styleId="60">
    <w:name w:val="批注框文本 Char"/>
    <w:basedOn w:val="35"/>
    <w:link w:val="22"/>
    <w:semiHidden/>
    <w:qFormat/>
    <w:uiPriority w:val="99"/>
    <w:rPr>
      <w:rFonts w:ascii="宋体" w:hAnsi="宋体" w:eastAsia="宋体" w:cs="宋体"/>
      <w:kern w:val="0"/>
      <w:sz w:val="18"/>
      <w:szCs w:val="18"/>
      <w:lang w:eastAsia="en-US"/>
    </w:rPr>
  </w:style>
  <w:style w:type="paragraph" w:styleId="61">
    <w:name w:val="No Spacing"/>
    <w:qFormat/>
    <w:uiPriority w:val="1"/>
    <w:pPr>
      <w:widowControl w:val="0"/>
      <w:ind w:firstLine="200" w:firstLineChars="200"/>
      <w:jc w:val="both"/>
    </w:pPr>
    <w:rPr>
      <w:rFonts w:ascii="Times New Roman" w:hAnsi="Times New Roman" w:eastAsia="宋体" w:cstheme="minorBidi"/>
      <w:kern w:val="2"/>
      <w:sz w:val="24"/>
      <w:szCs w:val="22"/>
      <w:lang w:val="en-US" w:eastAsia="zh-CN" w:bidi="ar-SA"/>
    </w:rPr>
  </w:style>
  <w:style w:type="paragraph" w:styleId="62">
    <w:name w:val="List Paragraph"/>
    <w:basedOn w:val="1"/>
    <w:qFormat/>
    <w:uiPriority w:val="34"/>
    <w:pPr>
      <w:autoSpaceDE w:val="0"/>
      <w:autoSpaceDN w:val="0"/>
      <w:spacing w:before="161"/>
      <w:ind w:left="1301" w:hanging="601"/>
      <w:jc w:val="left"/>
    </w:pPr>
    <w:rPr>
      <w:rFonts w:ascii="宋体" w:hAnsi="宋体" w:cs="宋体"/>
      <w:kern w:val="0"/>
      <w:sz w:val="22"/>
      <w:szCs w:val="22"/>
      <w:lang w:eastAsia="en-US"/>
    </w:rPr>
  </w:style>
  <w:style w:type="character" w:customStyle="1" w:styleId="63">
    <w:name w:val="表格正文 Char Char"/>
    <w:link w:val="64"/>
    <w:locked/>
    <w:uiPriority w:val="0"/>
    <w:rPr>
      <w:rFonts w:ascii="Times New Roman" w:hAnsi="Times New Roman"/>
      <w:sz w:val="24"/>
    </w:rPr>
  </w:style>
  <w:style w:type="paragraph" w:customStyle="1" w:styleId="64">
    <w:name w:val="表格正文"/>
    <w:basedOn w:val="1"/>
    <w:link w:val="63"/>
    <w:qFormat/>
    <w:uiPriority w:val="0"/>
    <w:pPr>
      <w:widowControl/>
      <w:adjustRightInd w:val="0"/>
      <w:spacing w:line="300" w:lineRule="auto"/>
      <w:jc w:val="center"/>
    </w:pPr>
    <w:rPr>
      <w:rFonts w:ascii="Times New Roman" w:hAnsi="Times New Roman" w:eastAsiaTheme="minorEastAsia" w:cstheme="minorBidi"/>
      <w:sz w:val="24"/>
      <w:szCs w:val="22"/>
    </w:rPr>
  </w:style>
  <w:style w:type="paragraph" w:customStyle="1" w:styleId="65">
    <w:name w:val="Char Char Char Char"/>
    <w:basedOn w:val="1"/>
    <w:autoRedefine/>
    <w:qFormat/>
    <w:uiPriority w:val="99"/>
    <w:pPr>
      <w:widowControl/>
      <w:autoSpaceDE w:val="0"/>
      <w:autoSpaceDN w:val="0"/>
      <w:adjustRightInd w:val="0"/>
      <w:spacing w:line="360" w:lineRule="auto"/>
      <w:jc w:val="left"/>
    </w:pPr>
    <w:rPr>
      <w:rFonts w:ascii="Times New Roman" w:hAnsi="Times New Roman" w:cstheme="minorBidi"/>
      <w:kern w:val="0"/>
      <w:sz w:val="24"/>
    </w:rPr>
  </w:style>
  <w:style w:type="paragraph" w:customStyle="1" w:styleId="66">
    <w:name w:val="Char Char Char Char4"/>
    <w:basedOn w:val="1"/>
    <w:autoRedefine/>
    <w:qFormat/>
    <w:uiPriority w:val="99"/>
    <w:pPr>
      <w:widowControl/>
      <w:autoSpaceDE w:val="0"/>
      <w:autoSpaceDN w:val="0"/>
      <w:adjustRightInd w:val="0"/>
      <w:spacing w:line="360" w:lineRule="auto"/>
      <w:jc w:val="left"/>
    </w:pPr>
    <w:rPr>
      <w:rFonts w:ascii="Times New Roman" w:hAnsi="Times New Roman" w:cstheme="minorBidi"/>
      <w:kern w:val="0"/>
      <w:sz w:val="24"/>
    </w:rPr>
  </w:style>
  <w:style w:type="paragraph" w:customStyle="1" w:styleId="67">
    <w:name w:val="Char Char Char Char1"/>
    <w:basedOn w:val="1"/>
    <w:qFormat/>
    <w:uiPriority w:val="99"/>
    <w:pPr>
      <w:widowControl/>
      <w:autoSpaceDE w:val="0"/>
      <w:autoSpaceDN w:val="0"/>
      <w:adjustRightInd w:val="0"/>
      <w:spacing w:line="360" w:lineRule="auto"/>
      <w:jc w:val="left"/>
    </w:pPr>
    <w:rPr>
      <w:rFonts w:ascii="Times New Roman" w:hAnsi="Times New Roman" w:cstheme="minorBidi"/>
      <w:kern w:val="0"/>
      <w:sz w:val="24"/>
    </w:rPr>
  </w:style>
  <w:style w:type="paragraph" w:customStyle="1" w:styleId="68">
    <w:name w:val="Char Char Char Char3"/>
    <w:basedOn w:val="1"/>
    <w:autoRedefine/>
    <w:qFormat/>
    <w:uiPriority w:val="99"/>
    <w:pPr>
      <w:widowControl/>
      <w:autoSpaceDE w:val="0"/>
      <w:autoSpaceDN w:val="0"/>
      <w:adjustRightInd w:val="0"/>
      <w:spacing w:line="360" w:lineRule="auto"/>
      <w:jc w:val="left"/>
    </w:pPr>
    <w:rPr>
      <w:rFonts w:ascii="Times New Roman" w:hAnsi="Times New Roman" w:cstheme="minorBidi"/>
      <w:kern w:val="0"/>
      <w:sz w:val="24"/>
    </w:rPr>
  </w:style>
  <w:style w:type="paragraph" w:customStyle="1" w:styleId="69">
    <w:name w:val="Char Char Char Char2"/>
    <w:basedOn w:val="1"/>
    <w:autoRedefine/>
    <w:qFormat/>
    <w:uiPriority w:val="99"/>
    <w:pPr>
      <w:widowControl/>
      <w:autoSpaceDE w:val="0"/>
      <w:autoSpaceDN w:val="0"/>
      <w:adjustRightInd w:val="0"/>
      <w:spacing w:line="360" w:lineRule="auto"/>
      <w:jc w:val="left"/>
    </w:pPr>
    <w:rPr>
      <w:rFonts w:ascii="Times New Roman" w:hAnsi="Times New Roman" w:cstheme="minorBidi"/>
      <w:kern w:val="0"/>
      <w:sz w:val="24"/>
    </w:rPr>
  </w:style>
  <w:style w:type="paragraph" w:customStyle="1" w:styleId="70">
    <w:name w:val="列出段落1"/>
    <w:basedOn w:val="1"/>
    <w:qFormat/>
    <w:uiPriority w:val="34"/>
    <w:pPr>
      <w:spacing w:line="360" w:lineRule="auto"/>
      <w:ind w:firstLine="420" w:firstLineChars="200"/>
    </w:pPr>
    <w:rPr>
      <w:rFonts w:ascii="Times New Roman" w:hAnsi="Times New Roman" w:cstheme="minorBidi"/>
      <w:szCs w:val="20"/>
    </w:rPr>
  </w:style>
  <w:style w:type="paragraph" w:customStyle="1" w:styleId="71">
    <w:name w:val="表格文字2"/>
    <w:basedOn w:val="1"/>
    <w:autoRedefine/>
    <w:qFormat/>
    <w:uiPriority w:val="0"/>
    <w:pPr>
      <w:widowControl/>
      <w:tabs>
        <w:tab w:val="left" w:pos="277"/>
        <w:tab w:val="left" w:pos="600"/>
        <w:tab w:val="left" w:pos="780"/>
        <w:tab w:val="left" w:pos="2517"/>
      </w:tabs>
      <w:adjustRightInd w:val="0"/>
      <w:spacing w:before="60" w:line="360" w:lineRule="auto"/>
      <w:jc w:val="center"/>
    </w:pPr>
    <w:rPr>
      <w:rFonts w:ascii="Times New Roman" w:hAnsi="Times New Roman" w:cstheme="minorBidi"/>
      <w:spacing w:val="5"/>
      <w:kern w:val="0"/>
      <w:sz w:val="24"/>
      <w:szCs w:val="21"/>
    </w:rPr>
  </w:style>
  <w:style w:type="paragraph" w:customStyle="1" w:styleId="72">
    <w:name w:val="正文首行缩进 2 + Times New Roman"/>
    <w:basedOn w:val="1"/>
    <w:qFormat/>
    <w:uiPriority w:val="0"/>
    <w:pPr>
      <w:widowControl/>
      <w:tabs>
        <w:tab w:val="left" w:pos="0"/>
        <w:tab w:val="left" w:pos="3150"/>
      </w:tabs>
      <w:autoSpaceDE w:val="0"/>
      <w:autoSpaceDN w:val="0"/>
      <w:ind w:right="113" w:firstLine="480" w:firstLineChars="200"/>
      <w:jc w:val="left"/>
    </w:pPr>
    <w:rPr>
      <w:rFonts w:ascii="Times New Roman" w:hAnsi="Times New Roman" w:cstheme="minorBidi"/>
      <w:kern w:val="0"/>
      <w:sz w:val="24"/>
    </w:rPr>
  </w:style>
  <w:style w:type="character" w:customStyle="1" w:styleId="73">
    <w:name w:val="居中正文 Char"/>
    <w:link w:val="74"/>
    <w:locked/>
    <w:uiPriority w:val="0"/>
    <w:rPr>
      <w:rFonts w:ascii="宋体" w:hAnsi="宋体" w:eastAsia="宋体"/>
      <w:kern w:val="28"/>
      <w:sz w:val="24"/>
    </w:rPr>
  </w:style>
  <w:style w:type="paragraph" w:customStyle="1" w:styleId="74">
    <w:name w:val="居中正文"/>
    <w:basedOn w:val="20"/>
    <w:link w:val="73"/>
    <w:qFormat/>
    <w:uiPriority w:val="0"/>
    <w:pPr>
      <w:adjustRightInd w:val="0"/>
      <w:spacing w:before="120"/>
      <w:jc w:val="center"/>
    </w:pPr>
    <w:rPr>
      <w:rFonts w:ascii="宋体" w:hAnsi="宋体" w:cstheme="minorBidi"/>
      <w:kern w:val="28"/>
      <w:szCs w:val="22"/>
    </w:rPr>
  </w:style>
  <w:style w:type="paragraph" w:customStyle="1" w:styleId="75">
    <w:name w:val="表格6"/>
    <w:basedOn w:val="1"/>
    <w:autoRedefine/>
    <w:qFormat/>
    <w:uiPriority w:val="99"/>
    <w:pPr>
      <w:widowControl/>
      <w:jc w:val="center"/>
    </w:pPr>
    <w:rPr>
      <w:rFonts w:ascii="Times New Roman" w:hAnsi="Times New Roman" w:cstheme="minorBidi"/>
      <w:kern w:val="0"/>
    </w:rPr>
  </w:style>
  <w:style w:type="paragraph" w:customStyle="1" w:styleId="76">
    <w:name w:val="Table Paragraph"/>
    <w:basedOn w:val="1"/>
    <w:autoRedefine/>
    <w:qFormat/>
    <w:uiPriority w:val="1"/>
    <w:pPr>
      <w:widowControl/>
      <w:autoSpaceDE w:val="0"/>
      <w:autoSpaceDN w:val="0"/>
      <w:adjustRightInd w:val="0"/>
      <w:spacing w:line="360" w:lineRule="auto"/>
      <w:jc w:val="left"/>
    </w:pPr>
    <w:rPr>
      <w:rFonts w:ascii="Times New Roman" w:hAnsi="Times New Roman" w:cstheme="minorBidi"/>
      <w:kern w:val="0"/>
      <w:sz w:val="24"/>
    </w:rPr>
  </w:style>
  <w:style w:type="paragraph" w:customStyle="1" w:styleId="77">
    <w:name w:val="样式 Arial 居中"/>
    <w:basedOn w:val="1"/>
    <w:autoRedefine/>
    <w:qFormat/>
    <w:uiPriority w:val="99"/>
    <w:pPr>
      <w:widowControl/>
      <w:spacing w:line="360" w:lineRule="auto"/>
      <w:jc w:val="center"/>
    </w:pPr>
    <w:rPr>
      <w:rFonts w:ascii="Times New Roman" w:hAnsi="Times New Roman" w:cs="宋体"/>
      <w:kern w:val="0"/>
      <w:sz w:val="24"/>
      <w:szCs w:val="20"/>
    </w:rPr>
  </w:style>
  <w:style w:type="paragraph" w:customStyle="1" w:styleId="78">
    <w:name w:val="修订1"/>
    <w:autoRedefine/>
    <w:semiHidden/>
    <w:qFormat/>
    <w:uiPriority w:val="99"/>
    <w:rPr>
      <w:rFonts w:ascii="Times New Roman" w:hAnsi="Times New Roman" w:eastAsia="宋体" w:cstheme="minorBidi"/>
      <w:kern w:val="0"/>
      <w:sz w:val="24"/>
      <w:szCs w:val="24"/>
      <w:lang w:val="en-US" w:eastAsia="zh-CN" w:bidi="ar-SA"/>
    </w:rPr>
  </w:style>
  <w:style w:type="character" w:customStyle="1" w:styleId="79">
    <w:name w:val="图标 字符"/>
    <w:basedOn w:val="35"/>
    <w:link w:val="80"/>
    <w:autoRedefine/>
    <w:qFormat/>
    <w:locked/>
    <w:uiPriority w:val="0"/>
    <w:rPr>
      <w:rFonts w:ascii="Times New Roman" w:hAnsi="Arial" w:cs="Times New Roman"/>
      <w:b/>
      <w:bCs/>
      <w:kern w:val="0"/>
      <w:szCs w:val="21"/>
    </w:rPr>
  </w:style>
  <w:style w:type="paragraph" w:customStyle="1" w:styleId="80">
    <w:name w:val="图标"/>
    <w:basedOn w:val="1"/>
    <w:link w:val="79"/>
    <w:autoRedefine/>
    <w:qFormat/>
    <w:uiPriority w:val="0"/>
    <w:pPr>
      <w:spacing w:line="360" w:lineRule="auto"/>
      <w:ind w:firstLine="480"/>
      <w:jc w:val="center"/>
    </w:pPr>
    <w:rPr>
      <w:rFonts w:ascii="Times New Roman" w:hAnsi="Arial" w:eastAsiaTheme="minorEastAsia"/>
      <w:b/>
      <w:bCs/>
      <w:kern w:val="0"/>
      <w:szCs w:val="21"/>
    </w:rPr>
  </w:style>
  <w:style w:type="paragraph" w:customStyle="1" w:styleId="81">
    <w:name w:val="表格内容"/>
    <w:qFormat/>
    <w:uiPriority w:val="0"/>
    <w:pPr>
      <w:jc w:val="center"/>
    </w:pPr>
    <w:rPr>
      <w:rFonts w:ascii="Times New Roman" w:hAnsi="Times New Roman" w:eastAsia="宋体" w:cstheme="minorBidi"/>
      <w:kern w:val="2"/>
      <w:sz w:val="21"/>
      <w:szCs w:val="22"/>
      <w:lang w:val="en-US" w:eastAsia="zh-CN" w:bidi="ar-SA"/>
    </w:rPr>
  </w:style>
  <w:style w:type="paragraph" w:customStyle="1" w:styleId="82">
    <w:name w:val="正文开头二"/>
    <w:basedOn w:val="1"/>
    <w:autoRedefine/>
    <w:qFormat/>
    <w:uiPriority w:val="99"/>
    <w:pPr>
      <w:autoSpaceDE w:val="0"/>
      <w:autoSpaceDN w:val="0"/>
      <w:adjustRightInd w:val="0"/>
      <w:spacing w:line="400" w:lineRule="atLeast"/>
    </w:pPr>
    <w:rPr>
      <w:rFonts w:asciiTheme="minorHAnsi" w:hAnsiTheme="minorHAnsi" w:eastAsiaTheme="minorEastAsia" w:cstheme="minorBidi"/>
      <w:kern w:val="0"/>
      <w:szCs w:val="20"/>
    </w:rPr>
  </w:style>
  <w:style w:type="paragraph" w:customStyle="1" w:styleId="83">
    <w:name w:val="普通(网站)1"/>
    <w:basedOn w:val="1"/>
    <w:qFormat/>
    <w:uiPriority w:val="99"/>
    <w:pPr>
      <w:widowControl/>
      <w:spacing w:before="100" w:beforeAutospacing="1" w:after="100" w:afterAutospacing="1"/>
      <w:jc w:val="left"/>
    </w:pPr>
    <w:rPr>
      <w:rFonts w:ascii="宋体" w:hAnsi="宋体"/>
      <w:kern w:val="0"/>
      <w:sz w:val="24"/>
    </w:rPr>
  </w:style>
  <w:style w:type="paragraph" w:customStyle="1" w:styleId="84">
    <w:name w:val="陈光的正文"/>
    <w:basedOn w:val="1"/>
    <w:autoRedefine/>
    <w:qFormat/>
    <w:uiPriority w:val="99"/>
    <w:pPr>
      <w:spacing w:line="360" w:lineRule="auto"/>
      <w:ind w:firstLine="567"/>
    </w:pPr>
    <w:rPr>
      <w:rFonts w:ascii="Arial" w:hAnsi="Arial"/>
      <w:sz w:val="28"/>
      <w:szCs w:val="20"/>
    </w:rPr>
  </w:style>
  <w:style w:type="paragraph" w:customStyle="1" w:styleId="85">
    <w:name w:val="Default"/>
    <w:autoRedefine/>
    <w:qFormat/>
    <w:uiPriority w:val="99"/>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character" w:customStyle="1" w:styleId="86">
    <w:name w:val="正文01 Char1"/>
    <w:link w:val="87"/>
    <w:autoRedefine/>
    <w:qFormat/>
    <w:locked/>
    <w:uiPriority w:val="0"/>
    <w:rPr>
      <w:rFonts w:ascii="Times New Roman" w:hAnsi="Times New Roman" w:cs="Times New Roman"/>
      <w:sz w:val="24"/>
      <w:szCs w:val="24"/>
    </w:rPr>
  </w:style>
  <w:style w:type="paragraph" w:customStyle="1" w:styleId="87">
    <w:name w:val="正文01"/>
    <w:basedOn w:val="1"/>
    <w:link w:val="86"/>
    <w:autoRedefine/>
    <w:qFormat/>
    <w:uiPriority w:val="0"/>
    <w:pPr>
      <w:spacing w:before="60" w:line="360" w:lineRule="auto"/>
      <w:ind w:firstLine="480" w:firstLineChars="200"/>
    </w:pPr>
    <w:rPr>
      <w:rFonts w:ascii="Times New Roman" w:hAnsi="Times New Roman" w:eastAsiaTheme="minorEastAsia"/>
      <w:sz w:val="24"/>
    </w:rPr>
  </w:style>
  <w:style w:type="character" w:customStyle="1" w:styleId="88">
    <w:name w:val="报告正文-连续目录 Char Char"/>
    <w:link w:val="89"/>
    <w:qFormat/>
    <w:locked/>
    <w:uiPriority w:val="0"/>
    <w:rPr>
      <w:rFonts w:ascii="Arial" w:hAnsi="Arial" w:cs="Arial"/>
      <w:snapToGrid w:val="0"/>
      <w:sz w:val="24"/>
      <w:szCs w:val="24"/>
      <w:lang w:val="zh-CN"/>
    </w:rPr>
  </w:style>
  <w:style w:type="paragraph" w:customStyle="1" w:styleId="89">
    <w:name w:val="报告正文-连续目录"/>
    <w:basedOn w:val="1"/>
    <w:link w:val="88"/>
    <w:qFormat/>
    <w:uiPriority w:val="0"/>
    <w:pPr>
      <w:snapToGrid w:val="0"/>
      <w:spacing w:line="440" w:lineRule="exact"/>
      <w:ind w:firstLine="200" w:firstLineChars="200"/>
    </w:pPr>
    <w:rPr>
      <w:rFonts w:ascii="Arial" w:hAnsi="Arial" w:cs="Arial" w:eastAsiaTheme="minorEastAsia"/>
      <w:snapToGrid w:val="0"/>
      <w:sz w:val="24"/>
      <w:lang w:val="zh-CN"/>
    </w:rPr>
  </w:style>
  <w:style w:type="paragraph" w:customStyle="1" w:styleId="90">
    <w:name w:val="样式5"/>
    <w:basedOn w:val="1"/>
    <w:autoRedefine/>
    <w:qFormat/>
    <w:uiPriority w:val="99"/>
    <w:pPr>
      <w:spacing w:before="60" w:line="460" w:lineRule="exact"/>
      <w:jc w:val="center"/>
    </w:pPr>
    <w:rPr>
      <w:rFonts w:ascii="Times New Roman" w:hAnsi="Times New Roman"/>
      <w:sz w:val="24"/>
    </w:rPr>
  </w:style>
  <w:style w:type="paragraph" w:customStyle="1" w:styleId="91">
    <w:name w:val="标题4-正文"/>
    <w:basedOn w:val="1"/>
    <w:autoRedefine/>
    <w:qFormat/>
    <w:uiPriority w:val="99"/>
    <w:pPr>
      <w:autoSpaceDN w:val="0"/>
      <w:spacing w:line="520" w:lineRule="exact"/>
      <w:ind w:firstLine="560" w:firstLineChars="200"/>
    </w:pPr>
    <w:rPr>
      <w:rFonts w:ascii="宋体" w:hAnsi="宋体" w:cs="宋体"/>
      <w:kern w:val="0"/>
      <w:sz w:val="28"/>
      <w:szCs w:val="28"/>
    </w:rPr>
  </w:style>
  <w:style w:type="paragraph" w:customStyle="1" w:styleId="92">
    <w:name w:val="TOC 标题1"/>
    <w:basedOn w:val="3"/>
    <w:next w:val="1"/>
    <w:autoRedefine/>
    <w:qFormat/>
    <w:uiPriority w:val="39"/>
    <w:pPr>
      <w:spacing w:before="240" w:line="256" w:lineRule="auto"/>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93">
    <w:name w:val="小五+单倍 Char"/>
    <w:link w:val="94"/>
    <w:locked/>
    <w:uiPriority w:val="0"/>
    <w:rPr>
      <w:szCs w:val="21"/>
    </w:rPr>
  </w:style>
  <w:style w:type="paragraph" w:customStyle="1" w:styleId="94">
    <w:name w:val="小五+单倍"/>
    <w:basedOn w:val="1"/>
    <w:link w:val="93"/>
    <w:autoRedefine/>
    <w:qFormat/>
    <w:uiPriority w:val="0"/>
    <w:pPr>
      <w:adjustRightInd w:val="0"/>
      <w:snapToGrid w:val="0"/>
      <w:jc w:val="center"/>
    </w:pPr>
    <w:rPr>
      <w:rFonts w:asciiTheme="minorHAnsi" w:hAnsiTheme="minorHAnsi" w:eastAsiaTheme="minorEastAsia" w:cstheme="minorBidi"/>
      <w:szCs w:val="21"/>
    </w:rPr>
  </w:style>
  <w:style w:type="character" w:customStyle="1" w:styleId="95">
    <w:name w:val="xl26 Char Char"/>
    <w:link w:val="96"/>
    <w:locked/>
    <w:uiPriority w:val="0"/>
    <w:rPr>
      <w:rFonts w:ascii="宋体" w:hAnsi="宋体" w:eastAsia="宋体"/>
      <w:szCs w:val="21"/>
      <w:lang w:val="zh-CN"/>
    </w:rPr>
  </w:style>
  <w:style w:type="paragraph" w:customStyle="1" w:styleId="96">
    <w:name w:val="xl26"/>
    <w:basedOn w:val="1"/>
    <w:link w:val="95"/>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theme="minorBidi"/>
      <w:szCs w:val="21"/>
      <w:lang w:val="zh-CN"/>
    </w:rPr>
  </w:style>
  <w:style w:type="paragraph" w:customStyle="1" w:styleId="97">
    <w:name w:val="4"/>
    <w:basedOn w:val="1"/>
    <w:next w:val="17"/>
    <w:autoRedefine/>
    <w:qFormat/>
    <w:uiPriority w:val="99"/>
    <w:rPr>
      <w:rFonts w:ascii="宋体" w:hAnsi="Courier New" w:cs="Courier New"/>
      <w:szCs w:val="21"/>
    </w:rPr>
  </w:style>
  <w:style w:type="character" w:customStyle="1" w:styleId="98">
    <w:name w:val="表格 Char"/>
    <w:link w:val="99"/>
    <w:locked/>
    <w:uiPriority w:val="0"/>
    <w:rPr>
      <w:lang w:val="zh-CN"/>
    </w:rPr>
  </w:style>
  <w:style w:type="paragraph" w:customStyle="1" w:styleId="99">
    <w:name w:val="表格"/>
    <w:basedOn w:val="1"/>
    <w:link w:val="98"/>
    <w:uiPriority w:val="0"/>
    <w:pPr>
      <w:keepNext/>
      <w:adjustRightInd w:val="0"/>
      <w:spacing w:line="312" w:lineRule="atLeast"/>
      <w:jc w:val="center"/>
    </w:pPr>
    <w:rPr>
      <w:rFonts w:asciiTheme="minorHAnsi" w:hAnsiTheme="minorHAnsi" w:eastAsiaTheme="minorEastAsia" w:cstheme="minorBidi"/>
      <w:szCs w:val="22"/>
      <w:lang w:val="zh-CN"/>
    </w:rPr>
  </w:style>
  <w:style w:type="paragraph" w:customStyle="1" w:styleId="100">
    <w:name w:val="修订2"/>
    <w:autoRedefine/>
    <w:semiHidden/>
    <w:qFormat/>
    <w:uiPriority w:val="99"/>
    <w:rPr>
      <w:rFonts w:ascii="Tahoma" w:hAnsi="Tahoma" w:eastAsia="宋体" w:cs="Times New Roman"/>
      <w:kern w:val="0"/>
      <w:sz w:val="24"/>
      <w:szCs w:val="22"/>
      <w:lang w:val="en-US" w:eastAsia="zh-CN" w:bidi="ar-SA"/>
    </w:rPr>
  </w:style>
  <w:style w:type="character" w:customStyle="1" w:styleId="101">
    <w:name w:val="font21"/>
    <w:basedOn w:val="35"/>
    <w:autoRedefine/>
    <w:qFormat/>
    <w:uiPriority w:val="0"/>
    <w:rPr>
      <w:rFonts w:hint="default" w:ascii="Calibri" w:hAnsi="Calibri" w:cs="Calibri"/>
      <w:color w:val="000000"/>
      <w:sz w:val="21"/>
      <w:szCs w:val="21"/>
      <w:u w:val="none"/>
    </w:rPr>
  </w:style>
  <w:style w:type="character" w:customStyle="1" w:styleId="102">
    <w:name w:val="font01"/>
    <w:basedOn w:val="35"/>
    <w:qFormat/>
    <w:uiPriority w:val="0"/>
    <w:rPr>
      <w:rFonts w:hint="default" w:ascii="Calibri" w:hAnsi="Calibri" w:cs="Calibri"/>
      <w:color w:val="000000"/>
      <w:sz w:val="21"/>
      <w:szCs w:val="21"/>
      <w:u w:val="none"/>
      <w:vertAlign w:val="superscript"/>
    </w:rPr>
  </w:style>
  <w:style w:type="character" w:customStyle="1" w:styleId="103">
    <w:name w:val="正文缩进 Char1"/>
    <w:qFormat/>
    <w:uiPriority w:val="0"/>
    <w:rPr>
      <w:kern w:val="2"/>
      <w:sz w:val="24"/>
      <w:szCs w:val="24"/>
    </w:rPr>
  </w:style>
  <w:style w:type="character" w:customStyle="1" w:styleId="104">
    <w:name w:val="日期 Char1"/>
    <w:basedOn w:val="35"/>
    <w:link w:val="18"/>
    <w:semiHidden/>
    <w:locked/>
    <w:uiPriority w:val="99"/>
    <w:rPr>
      <w:rFonts w:ascii="Times New Roman" w:hAnsi="Times New Roman" w:eastAsia="宋体"/>
      <w:kern w:val="0"/>
      <w:sz w:val="24"/>
      <w:szCs w:val="20"/>
    </w:rPr>
  </w:style>
  <w:style w:type="character" w:customStyle="1" w:styleId="105">
    <w:name w:val="宏文本 Char1"/>
    <w:basedOn w:val="35"/>
    <w:link w:val="2"/>
    <w:semiHidden/>
    <w:locked/>
    <w:uiPriority w:val="99"/>
    <w:rPr>
      <w:rFonts w:ascii="Courier New" w:hAnsi="Courier New" w:eastAsia="宋体" w:cs="Courier New"/>
      <w:sz w:val="24"/>
      <w:szCs w:val="24"/>
    </w:rPr>
  </w:style>
  <w:style w:type="character" w:customStyle="1" w:styleId="106">
    <w:name w:val="纯文本 Char1"/>
    <w:semiHidden/>
    <w:qFormat/>
    <w:locked/>
    <w:uiPriority w:val="99"/>
    <w:rPr>
      <w:rFonts w:ascii="宋体" w:hAnsi="Courier New" w:eastAsia="宋体"/>
      <w:kern w:val="0"/>
      <w:sz w:val="20"/>
      <w:szCs w:val="20"/>
    </w:rPr>
  </w:style>
  <w:style w:type="character" w:customStyle="1" w:styleId="107">
    <w:name w:val="纯文本 字符"/>
    <w:basedOn w:val="35"/>
    <w:semiHidden/>
    <w:uiPriority w:val="99"/>
    <w:rPr>
      <w:rFonts w:hint="eastAsia" w:hAnsi="Courier New" w:eastAsia="宋体" w:cs="Courier New" w:asciiTheme="minorEastAsia"/>
      <w:kern w:val="0"/>
      <w:sz w:val="24"/>
    </w:rPr>
  </w:style>
  <w:style w:type="character" w:customStyle="1" w:styleId="108">
    <w:name w:val="fontstyle01"/>
    <w:basedOn w:val="35"/>
    <w:uiPriority w:val="0"/>
    <w:rPr>
      <w:rFonts w:hint="eastAsia" w:ascii="黑体" w:hAnsi="黑体" w:eastAsia="黑体"/>
      <w:color w:val="000000"/>
      <w:sz w:val="34"/>
      <w:szCs w:val="34"/>
    </w:rPr>
  </w:style>
  <w:style w:type="character" w:customStyle="1" w:styleId="109">
    <w:name w:val="fontstyle11"/>
    <w:basedOn w:val="35"/>
    <w:uiPriority w:val="0"/>
    <w:rPr>
      <w:rFonts w:hint="default" w:ascii="F2" w:hAnsi="F2"/>
      <w:color w:val="000000"/>
      <w:sz w:val="22"/>
      <w:szCs w:val="22"/>
    </w:rPr>
  </w:style>
  <w:style w:type="character" w:customStyle="1" w:styleId="110">
    <w:name w:val="fontstyle21"/>
    <w:basedOn w:val="35"/>
    <w:uiPriority w:val="0"/>
    <w:rPr>
      <w:rFonts w:hint="eastAsia" w:ascii="黑体" w:hAnsi="黑体" w:eastAsia="黑体"/>
      <w:color w:val="000000"/>
      <w:sz w:val="44"/>
      <w:szCs w:val="44"/>
    </w:rPr>
  </w:style>
  <w:style w:type="character" w:customStyle="1" w:styleId="111">
    <w:name w:val="fontstyle31"/>
    <w:basedOn w:val="35"/>
    <w:uiPriority w:val="0"/>
    <w:rPr>
      <w:rFonts w:hint="default" w:ascii="Times New Roman" w:hAnsi="Times New Roman" w:cs="Times New Roman"/>
      <w:b/>
      <w:bCs/>
      <w:color w:val="000000"/>
      <w:sz w:val="22"/>
      <w:szCs w:val="22"/>
    </w:rPr>
  </w:style>
  <w:style w:type="character" w:customStyle="1" w:styleId="112">
    <w:name w:val="正文缩进 Char2"/>
    <w:uiPriority w:val="0"/>
    <w:rPr>
      <w:rFonts w:hint="default" w:ascii="Arial" w:hAnsi="Arial" w:cs="Arial"/>
      <w:kern w:val="2"/>
      <w:sz w:val="24"/>
      <w:szCs w:val="24"/>
      <w:lang w:val="en-GB"/>
    </w:rPr>
  </w:style>
  <w:style w:type="character" w:customStyle="1" w:styleId="113">
    <w:name w:val="正文01 Char"/>
    <w:qFormat/>
    <w:locked/>
    <w:uiPriority w:val="0"/>
    <w:rPr>
      <w:rFonts w:hint="default" w:ascii="Arial" w:hAnsi="Arial" w:cs="Arial"/>
      <w:kern w:val="2"/>
      <w:sz w:val="24"/>
    </w:rPr>
  </w:style>
  <w:style w:type="table" w:customStyle="1" w:styleId="114">
    <w:name w:val="无格式表格 21"/>
    <w:basedOn w:val="33"/>
    <w:autoRedefine/>
    <w:qFormat/>
    <w:uiPriority w:val="42"/>
    <w:rPr>
      <w:rFonts w:ascii="Times New Roman" w:hAnsi="Times New Roman" w:eastAsia="宋体" w:cs="Times New Roman"/>
      <w:kern w:val="0"/>
      <w:sz w:val="20"/>
      <w:szCs w:val="20"/>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15">
    <w:name w:val="Table Normal"/>
    <w:semiHidden/>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table" w:customStyle="1" w:styleId="116">
    <w:name w:val="网格型1"/>
    <w:basedOn w:val="33"/>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7">
    <w:name w:val="网格型2"/>
    <w:basedOn w:val="3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8">
    <w:name w:val="文档结构图 Char"/>
    <w:basedOn w:val="35"/>
    <w:link w:val="10"/>
    <w:semiHidden/>
    <w:uiPriority w:val="99"/>
    <w:rPr>
      <w:rFonts w:ascii="宋体" w:hAnsi="Calibri" w:eastAsia="宋体" w:cs="Times New Roman"/>
      <w:sz w:val="18"/>
      <w:szCs w:val="18"/>
    </w:rPr>
  </w:style>
  <w:style w:type="paragraph" w:customStyle="1" w:styleId="119">
    <w:name w:val="Revision"/>
    <w:hidden/>
    <w:semiHidden/>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A429C-0D82-4D07-B525-EE168FF1021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73</Pages>
  <Words>6136</Words>
  <Characters>34976</Characters>
  <Lines>291</Lines>
  <Paragraphs>82</Paragraphs>
  <TotalTime>75</TotalTime>
  <ScaleCrop>false</ScaleCrop>
  <LinksUpToDate>false</LinksUpToDate>
  <CharactersWithSpaces>41030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2024-05-16T07:36:00Z</dcterms:created>
  <dc:creator>PC</dc:creator>
  <cp:lastModifiedBy>Administrator</cp:lastModifiedBy>
  <dcterms:modified xsi:type="dcterms:W3CDTF">2024-05-16T13:30:00Z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54CCAA0680434C31A89F9B08D321DD1B_13</vt:lpwstr>
  </property>
</Properties>
</file>